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049"/>
        <w:pBdr/>
        <w:spacing/>
        <w:ind/>
        <w:rPr/>
      </w:pPr>
      <w:r>
        <w:t xml:space="preserve">SIRIUS LOGIC SYSTEMS</w:t>
      </w:r>
      <w:r/>
    </w:p>
    <w:p>
      <w:pPr>
        <w:pStyle w:val="906"/>
        <w:pBdr/>
        <w:spacing/>
        <w:ind/>
        <w:jc w:val="left"/>
        <w:rPr/>
      </w:pPr>
      <w:r>
        <w:t xml:space="preserve">The Continuation Validity</w:t>
        <w:br/>
        <w:t xml:space="preserve">Readiness Playbook</w:t>
      </w:r>
      <w:r/>
    </w:p>
    <w:p>
      <w:pPr>
        <w:pBdr/>
        <w:spacing w:after="320" w:before="160"/>
        <w:ind/>
        <w:rPr/>
      </w:pPr>
      <w:r>
        <w:rPr>
          <w:b/>
          <w:sz w:val="30"/>
        </w:rPr>
        <w:t xml:space="preserve">When something changes, does the basis for continuing still hold?</w:t>
      </w:r>
      <w:r/>
    </w:p>
    <w:p>
      <w:pPr>
        <w:pBdr/>
        <w:spacing w:after="360" w:before="240"/>
        <w:ind/>
        <w:rPr/>
      </w:pPr>
      <w:r>
        <w:rPr>
          <w:sz w:val="24"/>
        </w:rPr>
        <w:t xml:space="preserve">A practical, customer-safe guide for examining whether the authority, evidence, assumptions, dependencies, constraints, and operating conditions that supported an earlier decision remain materially established.</w:t>
      </w:r>
      <w:r/>
    </w:p>
    <w:tbl>
      <w:tblPr>
        <w:jc w:val="center"/>
        <w:tblW w:w="0" w:type="auto"/>
        <w:tblBorders/>
        <w:tblLayout w:type="fixed"/>
        <w:tblLook w:val="04A0" w:firstRow="1" w:lastRow="0" w:firstColumn="1" w:lastColumn="0" w:noHBand="0" w:noVBand="1"/>
      </w:tblPr>
      <w:tblGrid>
        <w:gridCol w:w="9994"/>
      </w:tblGrid>
      <w:tr>
        <w:trPr/>
        <w:tc>
          <w:tcPr>
            <w:shd w:val="clear" w:color="auto" w:fill="eef1f3"/>
            <w:tcBorders/>
            <w:tcMar>
              <w:left w:w="180" w:type="dxa"/>
              <w:top w:w="150" w:type="dxa"/>
              <w:right w:w="180" w:type="dxa"/>
              <w:bottom w:w="150" w:type="dxa"/>
            </w:tcMar>
            <w:tcW w:w="9994" w:type="dxa"/>
          </w:tcPr>
          <w:p>
            <w:pPr>
              <w:pBdr/>
              <w:spacing/>
              <w:ind/>
              <w:rPr/>
            </w:pPr>
            <w:r>
              <w:rPr>
                <w:b/>
                <w:sz w:val="24"/>
              </w:rPr>
              <w:t xml:space="preserve">THE CORE QUESTION</w:t>
              <w:br/>
            </w:r>
            <w:r>
              <w:rPr>
                <w:sz w:val="21"/>
              </w:rPr>
              <w:t xml:space="preserve">A decision may have been justified when it was made. Continuation is a separate question: are the conditions that justified continued execution still materially valid now?</w:t>
            </w:r>
            <w:r/>
          </w:p>
        </w:tc>
      </w:tr>
    </w:tbl>
    <w:p>
      <w:pPr>
        <w:pBdr/>
        <w:spacing w:after="0"/>
        <w:ind/>
        <w:rPr/>
      </w:pPr>
      <w:r/>
      <w:r/>
    </w:p>
    <w:p>
      <w:pPr>
        <w:pBdr/>
        <w:spacing w:before="360"/>
        <w:ind/>
        <w:rPr/>
      </w:pPr>
      <w:r>
        <w:rPr>
          <w:b/>
        </w:rPr>
        <w:t xml:space="preserve">Designed for:</w:t>
      </w:r>
      <w:r/>
    </w:p>
    <w:p>
      <w:pPr>
        <w:pStyle w:val="920"/>
        <w:pBdr/>
        <w:spacing/>
        <w:ind/>
        <w:rPr/>
      </w:pPr>
      <w:r>
        <w:t xml:space="preserve">AI-enabled workflows and operational processes</w:t>
      </w:r>
      <w:r/>
    </w:p>
    <w:p>
      <w:pPr>
        <w:pStyle w:val="920"/>
        <w:pBdr/>
        <w:spacing/>
        <w:ind/>
        <w:rPr/>
      </w:pPr>
      <w:r>
        <w:t xml:space="preserve">critical infrastructure, equipment, and project baselines</w:t>
      </w:r>
      <w:r/>
    </w:p>
    <w:p>
      <w:pPr>
        <w:pStyle w:val="920"/>
        <w:pBdr/>
        <w:spacing/>
        <w:ind/>
        <w:rPr/>
      </w:pPr>
      <w:r>
        <w:t xml:space="preserve">vendor, dependency, and evidence-sensitive decisions</w:t>
      </w:r>
      <w:r/>
    </w:p>
    <w:p>
      <w:pPr>
        <w:pStyle w:val="920"/>
        <w:pBdr/>
        <w:spacing/>
        <w:ind/>
        <w:rPr/>
      </w:pPr>
      <w:r>
        <w:t xml:space="preserve">situations where material conditions can change after initial approval</w:t>
      </w:r>
      <w:r/>
    </w:p>
    <w:p>
      <w:pPr>
        <w:pBdr/>
        <w:spacing w:before="360"/>
        <w:ind/>
        <w:rPr/>
      </w:pPr>
      <w:r>
        <w:rPr>
          <w:i/>
          <w:sz w:val="19"/>
        </w:rPr>
        <w:t xml:space="preserve">This playbook is a readiness guide, not a certification, compliance opinion, safety determination, or transfer of operational authority.</w:t>
      </w:r>
      <w:r/>
    </w:p>
    <w:p>
      <w:pPr>
        <w:pBdr/>
        <w:spacing/>
        <w:ind/>
        <w:rPr/>
      </w:pPr>
      <w:r>
        <w:br w:type="page" w:clear="all"/>
      </w:r>
      <w:r/>
    </w:p>
    <w:p>
      <w:pPr>
        <w:pStyle w:val="1049"/>
        <w:pBdr/>
        <w:spacing/>
        <w:ind/>
        <w:rPr/>
      </w:pPr>
      <w:r>
        <w:t xml:space="preserve">01  |  THE CONTINUATION GAP</w:t>
      </w:r>
      <w:r/>
    </w:p>
    <w:p>
      <w:pPr>
        <w:pStyle w:val="906"/>
        <w:pBdr/>
        <w:spacing/>
        <w:ind/>
        <w:jc w:val="left"/>
        <w:rPr/>
      </w:pPr>
      <w:r>
        <w:t xml:space="preserve">Approval records a decision.</w:t>
        <w:br/>
        <w:t xml:space="preserve">It does not freeze reality.</w:t>
      </w:r>
      <w:r/>
    </w:p>
    <w:p>
      <w:pPr>
        <w:pBdr/>
        <w:spacing/>
        <w:ind/>
        <w:rPr/>
      </w:pPr>
      <w:r>
        <w:t xml:space="preserve">Organizations routinely authorize projects, workflows, assets, vendors, configurations, and operating decisions using the evidence and conditions available at a particular point in time.</w:t>
      </w:r>
      <w:r/>
    </w:p>
    <w:p>
      <w:pPr>
        <w:pBdr/>
        <w:spacing/>
        <w:ind/>
        <w:rPr/>
      </w:pPr>
      <w:r>
        <w:t xml:space="preserve">After that decision, the environment can change. Evidence can become stale. Assumptions can fail. Dependencies can degrade. Configuration or communications paths can change. New constraints can appear. Authority can be revised or become unclear.</w:t>
      </w:r>
      <w:r/>
    </w:p>
    <w:tbl>
      <w:tblPr>
        <w:jc w:val="center"/>
        <w:tblW w:w="0" w:type="auto"/>
        <w:tblBorders/>
        <w:tblLayout w:type="fixed"/>
        <w:tblLook w:val="04A0" w:firstRow="1" w:lastRow="0" w:firstColumn="1" w:lastColumn="0" w:noHBand="0" w:noVBand="1"/>
      </w:tblPr>
      <w:tblGrid>
        <w:gridCol w:w="9994"/>
      </w:tblGrid>
      <w:tr>
        <w:trPr/>
        <w:tc>
          <w:tcPr>
            <w:shd w:val="clear" w:color="auto" w:fill="eef1f3"/>
            <w:tcBorders/>
            <w:tcMar>
              <w:left w:w="180" w:type="dxa"/>
              <w:top w:w="150" w:type="dxa"/>
              <w:right w:w="180" w:type="dxa"/>
              <w:bottom w:w="150" w:type="dxa"/>
            </w:tcMar>
            <w:tcW w:w="9994" w:type="dxa"/>
          </w:tcPr>
          <w:p>
            <w:pPr>
              <w:pBdr/>
              <w:spacing/>
              <w:ind/>
              <w:rPr/>
            </w:pPr>
            <w:r>
              <w:rPr>
                <w:b/>
                <w:sz w:val="24"/>
              </w:rPr>
              <w:t xml:space="preserve">INITIAL VALIDITY ≠ INDEFINITE CONTINUATION</w:t>
              <w:br/>
            </w:r>
            <w:r>
              <w:rPr>
                <w:sz w:val="21"/>
              </w:rPr>
              <w:t xml:space="preserve">The important question is not only whether the original decision was reasonable. It is whether current admissible evidence still supports continued reliance on that decision.</w:t>
            </w:r>
            <w:r/>
          </w:p>
        </w:tc>
      </w:tr>
    </w:tbl>
    <w:p>
      <w:pPr>
        <w:pBdr/>
        <w:spacing w:after="0"/>
        <w:ind/>
        <w:rPr/>
      </w:pPr>
      <w:r/>
      <w:r/>
    </w:p>
    <w:tbl>
      <w:tblPr>
        <w:tblStyle w:val="950"/>
        <w:jc w:val="center"/>
        <w:tblW w:w="0" w:type="auto"/>
        <w:tblBorders/>
        <w:tblLook w:val="04A0" w:firstRow="1" w:lastRow="0" w:firstColumn="1" w:lastColumn="0" w:noHBand="0" w:noVBand="1"/>
      </w:tblPr>
      <w:tblGrid>
        <w:gridCol w:w="3331"/>
        <w:gridCol w:w="3331"/>
        <w:gridCol w:w="3331"/>
      </w:tblGrid>
      <w:tr>
        <w:trPr/>
        <w:tc>
          <w:tcPr>
            <w:shd w:val="clear" w:color="auto" w:fill="d9e2e8"/>
            <w:tcBorders/>
            <w:tcMar>
              <w:left w:w="28" w:type="dxa"/>
              <w:top w:w="28" w:type="dxa"/>
              <w:right w:w="28" w:type="dxa"/>
              <w:bottom w:w="28" w:type="dxa"/>
            </w:tcMar>
            <w:tcW w:w="1123" w:type="dxa"/>
          </w:tcPr>
          <w:p>
            <w:pPr>
              <w:pBdr/>
              <w:spacing w:after="0" w:before="0" w:line="211" w:lineRule="auto"/>
              <w:ind/>
              <w:rPr/>
            </w:pPr>
            <w:r>
              <w:rPr>
                <w:b/>
                <w:sz w:val="13"/>
              </w:rPr>
              <w:t xml:space="preserve">T0 — AUTHORIZED</w:t>
            </w:r>
            <w:r/>
          </w:p>
        </w:tc>
        <w:tc>
          <w:tcPr>
            <w:shd w:val="clear" w:color="auto" w:fill="d9e2e8"/>
            <w:tcBorders/>
            <w:tcMar>
              <w:left w:w="28" w:type="dxa"/>
              <w:top w:w="28" w:type="dxa"/>
              <w:right w:w="28" w:type="dxa"/>
              <w:bottom w:w="28" w:type="dxa"/>
            </w:tcMar>
            <w:tcW w:w="5933" w:type="dxa"/>
          </w:tcPr>
          <w:p>
            <w:pPr>
              <w:pBdr/>
              <w:spacing w:after="0" w:before="0" w:line="211" w:lineRule="auto"/>
              <w:ind/>
              <w:rPr/>
            </w:pPr>
            <w:r>
              <w:rPr>
                <w:b/>
                <w:sz w:val="13"/>
              </w:rPr>
              <w:t xml:space="preserve">T1 — MATERIAL CHANGE</w:t>
            </w:r>
            <w:r/>
          </w:p>
        </w:tc>
        <w:tc>
          <w:tcPr>
            <w:shd w:val="clear" w:color="auto" w:fill="d9e2e8"/>
            <w:tcBorders/>
            <w:tcMar>
              <w:left w:w="28" w:type="dxa"/>
              <w:top w:w="28" w:type="dxa"/>
              <w:right w:w="28" w:type="dxa"/>
              <w:bottom w:w="28" w:type="dxa"/>
            </w:tcMar>
            <w:tcW w:w="792" w:type="dxa"/>
          </w:tcPr>
          <w:p>
            <w:pPr>
              <w:pBdr/>
              <w:spacing w:after="0" w:before="0" w:line="211" w:lineRule="auto"/>
              <w:ind/>
              <w:rPr/>
            </w:pPr>
            <w:r>
              <w:rPr>
                <w:b/>
                <w:sz w:val="13"/>
              </w:rPr>
              <w:t xml:space="preserve">T2 — CONTINUATION QUESTION</w:t>
            </w:r>
            <w:r/>
          </w:p>
        </w:tc>
      </w:tr>
      <w:tr>
        <w:trPr/>
        <w:tc>
          <w:tcPr>
            <w:tcBorders/>
            <w:tcMar>
              <w:left w:w="28" w:type="dxa"/>
              <w:top w:w="28" w:type="dxa"/>
              <w:right w:w="28" w:type="dxa"/>
              <w:bottom w:w="28" w:type="dxa"/>
            </w:tcMar>
            <w:tcW w:w="1123" w:type="dxa"/>
          </w:tcPr>
          <w:p>
            <w:pPr>
              <w:pBdr/>
              <w:spacing w:after="0" w:before="0" w:line="211" w:lineRule="auto"/>
              <w:ind/>
              <w:rPr/>
            </w:pPr>
            <w:r>
              <w:rPr>
                <w:sz w:val="14"/>
              </w:rPr>
              <w:t xml:space="preserve">Evidence accepted</w:t>
            </w:r>
            <w:r/>
          </w:p>
        </w:tc>
        <w:tc>
          <w:tcPr>
            <w:tcBorders/>
            <w:tcMar>
              <w:left w:w="28" w:type="dxa"/>
              <w:top w:w="28" w:type="dxa"/>
              <w:right w:w="28" w:type="dxa"/>
              <w:bottom w:w="28" w:type="dxa"/>
            </w:tcMar>
            <w:tcW w:w="5933" w:type="dxa"/>
          </w:tcPr>
          <w:p>
            <w:pPr>
              <w:pBdr/>
              <w:spacing w:after="0" w:before="0" w:line="211" w:lineRule="auto"/>
              <w:ind/>
              <w:rPr/>
            </w:pPr>
            <w:r>
              <w:rPr>
                <w:sz w:val="14"/>
              </w:rPr>
              <w:t xml:space="preserve">Evidence ages or changes</w:t>
            </w:r>
            <w:r/>
          </w:p>
        </w:tc>
        <w:tc>
          <w:tcPr>
            <w:tcBorders/>
            <w:tcMar>
              <w:left w:w="28" w:type="dxa"/>
              <w:top w:w="28" w:type="dxa"/>
              <w:right w:w="28" w:type="dxa"/>
              <w:bottom w:w="28" w:type="dxa"/>
            </w:tcMar>
            <w:tcW w:w="792" w:type="dxa"/>
          </w:tcPr>
          <w:p>
            <w:pPr>
              <w:pBdr/>
              <w:spacing w:after="0" w:before="0" w:line="211" w:lineRule="auto"/>
              <w:ind/>
              <w:rPr/>
            </w:pPr>
            <w:r>
              <w:rPr>
                <w:sz w:val="14"/>
              </w:rPr>
              <w:t xml:space="preserve">What is established now?</w:t>
            </w:r>
            <w:r/>
          </w:p>
        </w:tc>
      </w:tr>
      <w:tr>
        <w:trPr/>
        <w:tc>
          <w:tcPr>
            <w:tcBorders/>
            <w:tcMar>
              <w:left w:w="28" w:type="dxa"/>
              <w:top w:w="28" w:type="dxa"/>
              <w:right w:w="28" w:type="dxa"/>
              <w:bottom w:w="28" w:type="dxa"/>
            </w:tcMar>
            <w:tcW w:w="1123" w:type="dxa"/>
          </w:tcPr>
          <w:p>
            <w:pPr>
              <w:pBdr/>
              <w:spacing w:after="0" w:before="0" w:line="211" w:lineRule="auto"/>
              <w:ind/>
              <w:rPr/>
            </w:pPr>
            <w:r>
              <w:rPr>
                <w:sz w:val="14"/>
              </w:rPr>
              <w:t xml:space="preserve">Assumptions recorded</w:t>
            </w:r>
            <w:r/>
          </w:p>
        </w:tc>
        <w:tc>
          <w:tcPr>
            <w:tcBorders/>
            <w:tcMar>
              <w:left w:w="28" w:type="dxa"/>
              <w:top w:w="28" w:type="dxa"/>
              <w:right w:w="28" w:type="dxa"/>
              <w:bottom w:w="28" w:type="dxa"/>
            </w:tcMar>
            <w:tcW w:w="5933" w:type="dxa"/>
          </w:tcPr>
          <w:p>
            <w:pPr>
              <w:pBdr/>
              <w:spacing w:after="0" w:before="0" w:line="211" w:lineRule="auto"/>
              <w:ind/>
              <w:rPr/>
            </w:pPr>
            <w:r>
              <w:rPr>
                <w:sz w:val="14"/>
              </w:rPr>
              <w:t xml:space="preserve">Assumption contradicted</w:t>
            </w:r>
            <w:r/>
          </w:p>
        </w:tc>
        <w:tc>
          <w:tcPr>
            <w:tcBorders/>
            <w:tcMar>
              <w:left w:w="28" w:type="dxa"/>
              <w:top w:w="28" w:type="dxa"/>
              <w:right w:w="28" w:type="dxa"/>
              <w:bottom w:w="28" w:type="dxa"/>
            </w:tcMar>
            <w:tcW w:w="792" w:type="dxa"/>
          </w:tcPr>
          <w:p>
            <w:pPr>
              <w:pBdr/>
              <w:spacing w:after="0" w:before="0" w:line="211" w:lineRule="auto"/>
              <w:ind/>
              <w:rPr/>
            </w:pPr>
            <w:r>
              <w:rPr>
                <w:sz w:val="14"/>
              </w:rPr>
              <w:t xml:space="preserve">What is uncertain?</w:t>
            </w:r>
            <w:r/>
          </w:p>
        </w:tc>
      </w:tr>
      <w:tr>
        <w:trPr/>
        <w:tc>
          <w:tcPr>
            <w:tcBorders/>
            <w:tcMar>
              <w:left w:w="28" w:type="dxa"/>
              <w:top w:w="28" w:type="dxa"/>
              <w:right w:w="28" w:type="dxa"/>
              <w:bottom w:w="28" w:type="dxa"/>
            </w:tcMar>
            <w:tcW w:w="1123" w:type="dxa"/>
          </w:tcPr>
          <w:p>
            <w:pPr>
              <w:pBdr/>
              <w:spacing w:after="0" w:before="0" w:line="211" w:lineRule="auto"/>
              <w:ind/>
              <w:rPr/>
            </w:pPr>
            <w:r>
              <w:rPr>
                <w:sz w:val="14"/>
              </w:rPr>
              <w:t xml:space="preserve">Dependencies known</w:t>
            </w:r>
            <w:r/>
          </w:p>
        </w:tc>
        <w:tc>
          <w:tcPr>
            <w:tcBorders/>
            <w:tcMar>
              <w:left w:w="28" w:type="dxa"/>
              <w:top w:w="28" w:type="dxa"/>
              <w:right w:w="28" w:type="dxa"/>
              <w:bottom w:w="28" w:type="dxa"/>
            </w:tcMar>
            <w:tcW w:w="5933" w:type="dxa"/>
          </w:tcPr>
          <w:p>
            <w:pPr>
              <w:pBdr/>
              <w:spacing w:after="0" w:before="0" w:line="211" w:lineRule="auto"/>
              <w:ind/>
              <w:rPr/>
            </w:pPr>
            <w:r>
              <w:rPr>
                <w:sz w:val="14"/>
              </w:rPr>
              <w:t xml:space="preserve">Dependency changes</w:t>
            </w:r>
            <w:r/>
          </w:p>
        </w:tc>
        <w:tc>
          <w:tcPr>
            <w:tcBorders/>
            <w:tcMar>
              <w:left w:w="28" w:type="dxa"/>
              <w:top w:w="28" w:type="dxa"/>
              <w:right w:w="28" w:type="dxa"/>
              <w:bottom w:w="28" w:type="dxa"/>
            </w:tcMar>
            <w:tcW w:w="792" w:type="dxa"/>
          </w:tcPr>
          <w:p>
            <w:pPr>
              <w:pBdr/>
              <w:spacing w:after="0" w:before="0" w:line="211" w:lineRule="auto"/>
              <w:ind/>
              <w:rPr/>
            </w:pPr>
            <w:r>
              <w:rPr>
                <w:sz w:val="14"/>
              </w:rPr>
              <w:t xml:space="preserve">What requires reassessment?</w:t>
            </w:r>
            <w:r/>
          </w:p>
        </w:tc>
      </w:tr>
      <w:tr>
        <w:trPr/>
        <w:tc>
          <w:tcPr>
            <w:tcBorders/>
            <w:tcMar>
              <w:left w:w="28" w:type="dxa"/>
              <w:top w:w="28" w:type="dxa"/>
              <w:right w:w="28" w:type="dxa"/>
              <w:bottom w:w="28" w:type="dxa"/>
            </w:tcMar>
            <w:tcW w:w="1123" w:type="dxa"/>
          </w:tcPr>
          <w:p>
            <w:pPr>
              <w:pBdr/>
              <w:spacing w:after="0" w:before="0" w:line="211" w:lineRule="auto"/>
              <w:ind/>
              <w:rPr/>
            </w:pPr>
            <w:r>
              <w:rPr>
                <w:sz w:val="14"/>
              </w:rPr>
              <w:t xml:space="preserve">Conditions acceptable</w:t>
            </w:r>
            <w:r/>
          </w:p>
        </w:tc>
        <w:tc>
          <w:tcPr>
            <w:tcBorders/>
            <w:tcMar>
              <w:left w:w="28" w:type="dxa"/>
              <w:top w:w="28" w:type="dxa"/>
              <w:right w:w="28" w:type="dxa"/>
              <w:bottom w:w="28" w:type="dxa"/>
            </w:tcMar>
            <w:tcW w:w="5933" w:type="dxa"/>
          </w:tcPr>
          <w:p>
            <w:pPr>
              <w:pBdr/>
              <w:spacing w:after="0" w:before="0" w:line="211" w:lineRule="auto"/>
              <w:ind/>
              <w:rPr/>
            </w:pPr>
            <w:r>
              <w:rPr>
                <w:sz w:val="14"/>
              </w:rPr>
              <w:t xml:space="preserve">Conditions drift</w:t>
            </w:r>
            <w:r/>
          </w:p>
        </w:tc>
        <w:tc>
          <w:tcPr>
            <w:tcBorders/>
            <w:tcMar>
              <w:left w:w="28" w:type="dxa"/>
              <w:top w:w="28" w:type="dxa"/>
              <w:right w:w="28" w:type="dxa"/>
              <w:bottom w:w="28" w:type="dxa"/>
            </w:tcMar>
            <w:tcW w:w="792" w:type="dxa"/>
          </w:tcPr>
          <w:p>
            <w:pPr>
              <w:pBdr/>
              <w:spacing w:after="0" w:before="0" w:line="211" w:lineRule="auto"/>
              <w:ind/>
              <w:rPr/>
            </w:pPr>
            <w:r>
              <w:rPr>
                <w:sz w:val="14"/>
              </w:rPr>
              <w:t xml:space="preserve">May continuation remain admissible?</w:t>
            </w:r>
            <w:r/>
          </w:p>
        </w:tc>
      </w:tr>
    </w:tbl>
    <w:p>
      <w:pPr>
        <w:pBdr/>
        <w:spacing w:before="280"/>
        <w:ind/>
        <w:rPr/>
      </w:pPr>
      <w:r>
        <w:rPr>
          <w:b/>
        </w:rPr>
        <w:t xml:space="preserve">Continuation validity</w:t>
      </w:r>
      <w:r>
        <w:t xml:space="preserve"> is the discipline of keeping execution synchronized with the conditions that justify it, rather than assuming an earlier approval remains sufficient forever.</w:t>
      </w:r>
      <w:r/>
    </w:p>
    <w:p>
      <w:pPr>
        <w:pBdr/>
        <w:spacing/>
        <w:ind/>
        <w:rPr/>
      </w:pPr>
      <w:r>
        <w:br w:type="page" w:clear="all"/>
      </w:r>
      <w:r/>
    </w:p>
    <w:p>
      <w:pPr>
        <w:pStyle w:val="1049"/>
        <w:pBdr/>
        <w:spacing/>
        <w:ind/>
        <w:rPr/>
      </w:pPr>
      <w:r>
        <w:t xml:space="preserve">02  |  SIX READINESS QUESTIONS</w:t>
      </w:r>
      <w:r/>
    </w:p>
    <w:p>
      <w:pPr>
        <w:pStyle w:val="906"/>
        <w:pBdr/>
        <w:spacing/>
        <w:ind/>
        <w:jc w:val="left"/>
        <w:rPr/>
      </w:pPr>
      <w:r>
        <w:t xml:space="preserve">Can you establish the basis for continuing?</w:t>
      </w:r>
      <w:r/>
    </w:p>
    <w:p>
      <w:pPr>
        <w:pBdr/>
        <w:spacing w:before="140"/>
        <w:ind/>
        <w:rPr/>
      </w:pPr>
      <w:r>
        <w:rPr>
          <w:b/>
          <w:sz w:val="24"/>
        </w:rPr>
        <w:t xml:space="preserve">1. Authority</w:t>
      </w:r>
      <w:r>
        <w:br/>
        <w:t xml:space="preserve">Can you identify who currently has authority to approve, rely on, intervene in, or reassess the activity?</w:t>
      </w:r>
      <w:r/>
    </w:p>
    <w:p>
      <w:pPr>
        <w:pBdr/>
        <w:spacing w:before="140"/>
        <w:ind/>
        <w:rPr/>
      </w:pPr>
      <w:r>
        <w:rPr>
          <w:b/>
          <w:sz w:val="24"/>
        </w:rPr>
        <w:t xml:space="preserve">2. Evidence</w:t>
      </w:r>
      <w:r>
        <w:br/>
        <w:t xml:space="preserve">Is the evidence supporting continuation current, scoped to the decision, attributable, and sufficiently intact?</w:t>
      </w:r>
      <w:r/>
    </w:p>
    <w:p>
      <w:pPr>
        <w:pBdr/>
        <w:spacing w:before="140"/>
        <w:ind/>
        <w:rPr/>
      </w:pPr>
      <w:r>
        <w:rPr>
          <w:b/>
          <w:sz w:val="24"/>
        </w:rPr>
        <w:t xml:space="preserve">3. Assumptions</w:t>
      </w:r>
      <w:r>
        <w:br/>
        <w:t xml:space="preserve">Are the material claims that had to be true at authorization still materially true?</w:t>
      </w:r>
      <w:r/>
    </w:p>
    <w:p>
      <w:pPr>
        <w:pBdr/>
        <w:spacing w:before="140"/>
        <w:ind/>
        <w:rPr/>
      </w:pPr>
      <w:r>
        <w:rPr>
          <w:b/>
          <w:sz w:val="24"/>
        </w:rPr>
        <w:t xml:space="preserve">4. Dependencies</w:t>
      </w:r>
      <w:r>
        <w:br/>
        <w:t xml:space="preserve">Have important software, suppliers, services, communications, power, data, or other dependencies changed?</w:t>
      </w:r>
      <w:r/>
    </w:p>
    <w:p>
      <w:pPr>
        <w:pBdr/>
        <w:spacing w:before="140"/>
        <w:ind/>
        <w:rPr/>
      </w:pPr>
      <w:r>
        <w:rPr>
          <w:b/>
          <w:sz w:val="24"/>
        </w:rPr>
        <w:t xml:space="preserve">5. Constraints</w:t>
      </w:r>
      <w:r>
        <w:br/>
        <w:t xml:space="preserve">Are the boundaries and conditions that limited the original decision still satisfied?</w:t>
      </w:r>
      <w:r/>
    </w:p>
    <w:p>
      <w:pPr>
        <w:pBdr/>
        <w:spacing w:before="140"/>
        <w:ind/>
        <w:rPr/>
      </w:pPr>
      <w:r>
        <w:rPr>
          <w:b/>
          <w:sz w:val="24"/>
        </w:rPr>
        <w:t xml:space="preserve">6. Operating Conditions</w:t>
      </w:r>
      <w:r>
        <w:br/>
        <w:t xml:space="preserve">Has the environment, configuration, workload, policy baseline, or operating state materially changed?</w:t>
      </w:r>
      <w:r/>
    </w:p>
    <w:tbl>
      <w:tblPr>
        <w:jc w:val="center"/>
        <w:tblW w:w="0" w:type="auto"/>
        <w:tblBorders/>
        <w:tblLayout w:type="fixed"/>
        <w:tblLook w:val="04A0" w:firstRow="1" w:lastRow="0" w:firstColumn="1" w:lastColumn="0" w:noHBand="0" w:noVBand="1"/>
      </w:tblPr>
      <w:tblGrid>
        <w:gridCol w:w="9994"/>
      </w:tblGrid>
      <w:tr>
        <w:trPr/>
        <w:tc>
          <w:tcPr>
            <w:shd w:val="clear" w:color="auto" w:fill="eef1f3"/>
            <w:tcBorders/>
            <w:tcMar>
              <w:left w:w="180" w:type="dxa"/>
              <w:top w:w="150" w:type="dxa"/>
              <w:right w:w="180" w:type="dxa"/>
              <w:bottom w:w="150" w:type="dxa"/>
            </w:tcMar>
            <w:tcW w:w="9994" w:type="dxa"/>
          </w:tcPr>
          <w:p>
            <w:pPr>
              <w:pBdr/>
              <w:spacing/>
              <w:ind/>
              <w:rPr/>
            </w:pPr>
            <w:r>
              <w:rPr>
                <w:b/>
                <w:sz w:val="24"/>
              </w:rPr>
              <w:t xml:space="preserve">A USEFUL RULE</w:t>
              <w:br/>
            </w:r>
            <w:r>
              <w:rPr>
                <w:sz w:val="21"/>
              </w:rPr>
              <w:t xml:space="preserve">If an answer is unknown, stale, contradictory, or materially unsupported, do not silently convert it into confidence. Keep the uncertainty visible and determine whether reassessment is required.</w:t>
            </w:r>
            <w:r/>
          </w:p>
        </w:tc>
      </w:tr>
    </w:tbl>
    <w:p>
      <w:pPr>
        <w:pBdr/>
        <w:spacing w:after="0"/>
        <w:ind/>
        <w:rPr/>
      </w:pPr>
      <w:r/>
      <w:r/>
    </w:p>
    <w:p>
      <w:pPr>
        <w:pBdr/>
        <w:spacing/>
        <w:ind/>
        <w:rPr/>
      </w:pPr>
      <w:r>
        <w:br w:type="page" w:clear="all"/>
      </w:r>
      <w:r/>
    </w:p>
    <w:p>
      <w:pPr>
        <w:pStyle w:val="1049"/>
        <w:pBdr/>
        <w:spacing/>
        <w:ind/>
        <w:rPr/>
      </w:pPr>
      <w:r>
        <w:t xml:space="preserve">03  |  WHEN SOMETHING CHANGES</w:t>
      </w:r>
      <w:r/>
    </w:p>
    <w:p>
      <w:pPr>
        <w:pStyle w:val="906"/>
        <w:pBdr/>
        <w:spacing/>
        <w:ind/>
        <w:jc w:val="left"/>
        <w:rPr/>
      </w:pPr>
      <w:r>
        <w:t xml:space="preserve">Detect. Reassess. Bound the response.</w:t>
      </w:r>
      <w:r/>
    </w:p>
    <w:p>
      <w:pPr>
        <w:pBdr/>
        <w:spacing/>
        <w:ind/>
        <w:rPr/>
      </w:pPr>
      <w:r>
        <w:t xml:space="preserve">A material change does not automatically mean an activity must stop. It means the basis for continuation should be re-examined at the level appropriate to the affected decision.</w:t>
      </w:r>
      <w:r/>
    </w:p>
    <w:tbl>
      <w:tblPr>
        <w:tblStyle w:val="950"/>
        <w:jc w:val="center"/>
        <w:tblW w:w="0" w:type="auto"/>
        <w:tblBorders/>
        <w:tblLook w:val="04A0" w:firstRow="1" w:lastRow="0" w:firstColumn="1" w:lastColumn="0" w:noHBand="0" w:noVBand="1"/>
      </w:tblPr>
      <w:tblGrid>
        <w:gridCol w:w="2498"/>
        <w:gridCol w:w="2498"/>
        <w:gridCol w:w="2498"/>
        <w:gridCol w:w="2498"/>
      </w:tblGrid>
      <w:tr>
        <w:trPr/>
        <w:tc>
          <w:tcPr>
            <w:shd w:val="clear" w:color="auto" w:fill="eef1f3"/>
            <w:tcBorders/>
            <w:tcMar>
              <w:left w:w="130" w:type="dxa"/>
              <w:top w:w="150" w:type="dxa"/>
              <w:right w:w="130" w:type="dxa"/>
              <w:bottom w:w="150" w:type="dxa"/>
            </w:tcMar>
            <w:tcW w:w="2498" w:type="dxa"/>
          </w:tcPr>
          <w:p>
            <w:pPr>
              <w:pBdr/>
              <w:spacing/>
              <w:ind/>
              <w:rPr/>
            </w:pPr>
            <w:r>
              <w:rPr>
                <w:b/>
                <w:sz w:val="20"/>
              </w:rPr>
              <w:t xml:space="preserve">1. ESTABLISHED</w:t>
              <w:br/>
            </w:r>
            <w:r>
              <w:t xml:space="preserve">A bounded decision is supported by recorded authority, evidence, assumptions, dependencies, constraints, and conditions.</w:t>
            </w:r>
            <w:r/>
          </w:p>
        </w:tc>
        <w:tc>
          <w:tcPr>
            <w:shd w:val="clear" w:color="auto" w:fill="f7f8f9"/>
            <w:tcBorders/>
            <w:tcMar>
              <w:left w:w="130" w:type="dxa"/>
              <w:top w:w="150" w:type="dxa"/>
              <w:right w:w="130" w:type="dxa"/>
              <w:bottom w:w="150" w:type="dxa"/>
            </w:tcMar>
            <w:tcW w:w="2498" w:type="dxa"/>
          </w:tcPr>
          <w:p>
            <w:pPr>
              <w:pBdr/>
              <w:spacing/>
              <w:ind/>
              <w:rPr/>
            </w:pPr>
            <w:r>
              <w:rPr>
                <w:b/>
                <w:sz w:val="20"/>
              </w:rPr>
              <w:t xml:space="preserve">2. CHANGE DETECTED</w:t>
              <w:br/>
            </w:r>
            <w:r>
              <w:t xml:space="preserve">A material fact, dependency, condition, configuration, authority, or evidence state changes.</w:t>
            </w:r>
            <w:r/>
          </w:p>
        </w:tc>
        <w:tc>
          <w:tcPr>
            <w:shd w:val="clear" w:color="auto" w:fill="eef1f3"/>
            <w:tcBorders/>
            <w:tcMar>
              <w:left w:w="130" w:type="dxa"/>
              <w:top w:w="150" w:type="dxa"/>
              <w:right w:w="130" w:type="dxa"/>
              <w:bottom w:w="150" w:type="dxa"/>
            </w:tcMar>
            <w:tcW w:w="2498" w:type="dxa"/>
          </w:tcPr>
          <w:p>
            <w:pPr>
              <w:pBdr/>
              <w:spacing/>
              <w:ind/>
              <w:rPr/>
            </w:pPr>
            <w:r>
              <w:rPr>
                <w:b/>
                <w:sz w:val="20"/>
              </w:rPr>
              <w:t xml:space="preserve">3. REASSESS</w:t>
              <w:br/>
            </w:r>
            <w:r>
              <w:t xml:space="preserve">Determine what changed, what evidence is current, what remains unknown, and which validity dimensions are affected.</w:t>
            </w:r>
            <w:r/>
          </w:p>
        </w:tc>
        <w:tc>
          <w:tcPr>
            <w:shd w:val="clear" w:color="auto" w:fill="f7f8f9"/>
            <w:tcBorders/>
            <w:tcMar>
              <w:left w:w="130" w:type="dxa"/>
              <w:top w:w="150" w:type="dxa"/>
              <w:right w:w="130" w:type="dxa"/>
              <w:bottom w:w="150" w:type="dxa"/>
            </w:tcMar>
            <w:tcW w:w="2498" w:type="dxa"/>
          </w:tcPr>
          <w:p>
            <w:pPr>
              <w:pBdr/>
              <w:spacing/>
              <w:ind/>
              <w:rPr/>
            </w:pPr>
            <w:r>
              <w:rPr>
                <w:b/>
                <w:sz w:val="20"/>
              </w:rPr>
              <w:t xml:space="preserve">4. BOUNDED RESPONSE</w:t>
              <w:br/>
            </w:r>
            <w:r>
              <w:t xml:space="preserve">Continue, watch, constrain, require revalidation, or halt according to the customer's governing authority and decision rules.</w:t>
            </w:r>
            <w:r/>
          </w:p>
        </w:tc>
      </w:tr>
    </w:tbl>
    <w:p>
      <w:pPr>
        <w:pBdr/>
        <w:spacing/>
        <w:ind/>
        <w:rPr/>
      </w:pPr>
      <w:r/>
      <w:r/>
    </w:p>
    <w:tbl>
      <w:tblPr>
        <w:jc w:val="center"/>
        <w:tblW w:w="0" w:type="auto"/>
        <w:tblBorders/>
        <w:tblLayout w:type="fixed"/>
        <w:tblLook w:val="04A0" w:firstRow="1" w:lastRow="0" w:firstColumn="1" w:lastColumn="0" w:noHBand="0" w:noVBand="1"/>
      </w:tblPr>
      <w:tblGrid>
        <w:gridCol w:w="9994"/>
      </w:tblGrid>
      <w:tr>
        <w:trPr/>
        <w:tc>
          <w:tcPr>
            <w:shd w:val="clear" w:color="auto" w:fill="eef1f3"/>
            <w:tcBorders/>
            <w:tcMar>
              <w:left w:w="180" w:type="dxa"/>
              <w:top w:w="150" w:type="dxa"/>
              <w:right w:w="180" w:type="dxa"/>
              <w:bottom w:w="150" w:type="dxa"/>
            </w:tcMar>
            <w:tcW w:w="9994" w:type="dxa"/>
          </w:tcPr>
          <w:p>
            <w:pPr>
              <w:pBdr/>
              <w:spacing/>
              <w:ind/>
              <w:rPr/>
            </w:pPr>
            <w:r>
              <w:rPr>
                <w:b/>
                <w:sz w:val="24"/>
              </w:rPr>
              <w:t xml:space="preserve">AUTHORITY BOUNDARY</w:t>
              <w:br/>
            </w:r>
            <w:r>
              <w:rPr>
                <w:sz w:val="21"/>
              </w:rPr>
              <w:t xml:space="preserve">SLS can structure evidence, expose uncertainty, and determine continuation validity within an agreed assessment boundary. The customer retains operational authority and selects and executes operational responses.</w:t>
            </w:r>
            <w:r/>
          </w:p>
        </w:tc>
      </w:tr>
    </w:tbl>
    <w:p>
      <w:pPr>
        <w:pBdr/>
        <w:spacing w:after="0"/>
        <w:ind/>
        <w:rPr/>
      </w:pPr>
      <w:r/>
      <w:r/>
    </w:p>
    <w:p>
      <w:pPr>
        <w:pBdr/>
        <w:spacing/>
        <w:ind/>
        <w:rPr/>
      </w:pPr>
      <w:r>
        <w:rPr>
          <w:b/>
        </w:rPr>
        <w:t xml:space="preserve">Governed re-entry matters. </w:t>
      </w:r>
      <w:r>
        <w:t xml:space="preserve">New evidence or corrected conditions should trigger reassessment; they should not silently erase the historical record or automatically restore a prior state.</w:t>
      </w:r>
      <w:r/>
    </w:p>
    <w:p>
      <w:pPr>
        <w:pBdr/>
        <w:spacing/>
        <w:ind/>
        <w:rPr/>
      </w:pPr>
      <w:r>
        <w:br w:type="page" w:clear="all"/>
      </w:r>
      <w:r/>
    </w:p>
    <w:p>
      <w:pPr>
        <w:pStyle w:val="1049"/>
        <w:pBdr/>
        <w:spacing/>
        <w:ind/>
        <w:rPr/>
      </w:pPr>
      <w:r>
        <w:t xml:space="preserve">04  |  READINESS CHECK</w:t>
      </w:r>
      <w:r/>
    </w:p>
    <w:p>
      <w:pPr>
        <w:pStyle w:val="906"/>
        <w:pBdr/>
        <w:spacing/>
        <w:ind/>
        <w:jc w:val="left"/>
        <w:rPr/>
      </w:pPr>
      <w:r>
        <w:t xml:space="preserve">Mark what is established — and what is not.</w:t>
      </w:r>
      <w:r/>
    </w:p>
    <w:p>
      <w:pPr>
        <w:pBdr/>
        <w:spacing/>
        <w:ind/>
        <w:rPr/>
      </w:pPr>
      <w:r>
        <w:t xml:space="preserve">Use this worksheet on one bounded workflow, asset, project, vendor relationship, or operational decision. Choose the status that best reflects what you can establish from current records.</w:t>
      </w:r>
      <w:r/>
    </w:p>
    <w:tbl>
      <w:tblPr>
        <w:tblStyle w:val="950"/>
        <w:jc w:val="center"/>
        <w:tblW w:w="0" w:type="auto"/>
        <w:tblBorders/>
        <w:tblLayout w:type="fixed"/>
        <w:tblLook w:val="04A0" w:firstRow="1" w:lastRow="0" w:firstColumn="1" w:lastColumn="0" w:noHBand="0" w:noVBand="1"/>
      </w:tblPr>
      <w:tblGrid>
        <w:gridCol w:w="1999"/>
        <w:gridCol w:w="1999"/>
        <w:gridCol w:w="1999"/>
        <w:gridCol w:w="1999"/>
        <w:gridCol w:w="1999"/>
      </w:tblGrid>
      <w:tr>
        <w:trPr/>
        <w:tc>
          <w:tcPr>
            <w:shd w:val="clear" w:color="auto" w:fill="d9e2e8"/>
            <w:tcBorders/>
            <w:tcW w:w="1999" w:type="dxa"/>
          </w:tcPr>
          <w:p>
            <w:pPr>
              <w:pBdr/>
              <w:spacing w:after="0" w:before="0" w:line="211" w:lineRule="auto"/>
              <w:ind/>
              <w:rPr/>
            </w:pPr>
            <w:r>
              <w:rPr>
                <w:sz w:val="14"/>
              </w:rPr>
              <w:t xml:space="preserve">Readiness Area</w:t>
            </w:r>
            <w:r/>
          </w:p>
        </w:tc>
        <w:tc>
          <w:tcPr>
            <w:shd w:val="clear" w:color="auto" w:fill="d9e2e8"/>
            <w:tcBorders/>
            <w:tcW w:w="1999" w:type="dxa"/>
          </w:tcPr>
          <w:p>
            <w:pPr>
              <w:pBdr/>
              <w:spacing w:after="0" w:before="0" w:line="211" w:lineRule="auto"/>
              <w:ind/>
              <w:rPr/>
            </w:pPr>
            <w:r>
              <w:rPr>
                <w:sz w:val="14"/>
              </w:rPr>
              <w:t xml:space="preserve">Question</w:t>
            </w:r>
            <w:r/>
          </w:p>
        </w:tc>
        <w:tc>
          <w:tcPr>
            <w:gridSpan w:val="3"/>
            <w:shd w:val="clear" w:color="auto" w:fill="d9e2e8"/>
            <w:tcBorders/>
            <w:tcW w:w="5997" w:type="dxa"/>
          </w:tcPr>
          <w:p>
            <w:pPr>
              <w:pBdr/>
              <w:spacing w:after="0" w:before="0" w:line="211" w:lineRule="auto"/>
              <w:ind/>
              <w:rPr/>
            </w:pPr>
            <w:r>
              <w:rPr>
                <w:sz w:val="14"/>
              </w:rPr>
              <w:t xml:space="preserve">Mark One</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Authority</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Current accountable authority and decision owner are identifiable.</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Evidence</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Supporting evidence is current, attributable, scoped, and available.</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Assumptions</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Material assumptions are recorded and remain supportable.</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Dependencies</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Critical dependencies are known and material changes are detectable.</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Constraints</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Required boundaries and limitations are documented and still satisfied.</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Conditions</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Current operating conditions are known and materially consistent with the decision basis.</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Change Detection</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There is a defined way to recognize changes that should trigger reassessment.</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Reassessment</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There is a repeatable process for evaluating continuation after material change.</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r>
        <w:trPr/>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Decision Record</w:t>
            </w:r>
            <w:r/>
          </w:p>
        </w:tc>
        <w:tc>
          <w:tcPr>
            <w:tcBorders/>
            <w:tcMar>
              <w:left w:w="80" w:type="dxa"/>
              <w:top w:w="70" w:type="dxa"/>
              <w:right w:w="80" w:type="dxa"/>
              <w:bottom w:w="70" w:type="dxa"/>
            </w:tcMar>
            <w:tcW w:w="1999" w:type="dxa"/>
            <w:vAlign w:val="center"/>
          </w:tcPr>
          <w:p>
            <w:pPr>
              <w:pBdr/>
              <w:spacing w:after="0" w:before="0" w:line="211" w:lineRule="auto"/>
              <w:ind/>
              <w:rPr/>
            </w:pPr>
            <w:r>
              <w:rPr>
                <w:sz w:val="14"/>
              </w:rPr>
              <w:t xml:space="preserve">The basis, evidence, unknowns, limitations, and determination can be reconstructed later.</w:t>
            </w:r>
            <w:r/>
          </w:p>
        </w:tc>
        <w:tc>
          <w:tcPr>
            <w:gridSpan w:val="3"/>
            <w:tcBorders/>
            <w:tcMar>
              <w:left w:w="80" w:type="dxa"/>
              <w:top w:w="70" w:type="dxa"/>
              <w:right w:w="80" w:type="dxa"/>
              <w:bottom w:w="70" w:type="dxa"/>
            </w:tcMar>
            <w:tcW w:w="5997" w:type="dxa"/>
            <w:vAlign w:val="center"/>
          </w:tcPr>
          <w:p>
            <w:pPr>
              <w:pBdr/>
              <w:spacing w:after="0" w:before="0" w:line="211" w:lineRule="auto"/>
              <w:ind/>
              <w:rPr/>
            </w:pPr>
            <w:r>
              <w:rPr>
                <w:sz w:val="14"/>
              </w:rPr>
              <w:t xml:space="preserve">Established ☐   Uncertain ☐   Not Established ☐</w:t>
            </w:r>
            <w:r/>
          </w:p>
        </w:tc>
      </w:tr>
    </w:tbl>
    <w:p>
      <w:pPr>
        <w:pBdr/>
        <w:spacing w:before="200"/>
        <w:ind/>
        <w:rPr/>
      </w:pPr>
      <w:r>
        <w:rPr>
          <w:b/>
        </w:rPr>
        <w:t xml:space="preserve">Do not total the boxes into a false precision score.</w:t>
      </w:r>
      <w:r>
        <w:t xml:space="preserve"> The purpose is to reveal where continuation is established, where it is uncertain, and where the basis is not established.</w:t>
      </w:r>
      <w:r/>
    </w:p>
    <w:p>
      <w:pPr>
        <w:pBdr/>
        <w:spacing/>
        <w:ind/>
        <w:rPr/>
      </w:pPr>
      <w:r>
        <w:br w:type="page" w:clear="all"/>
      </w:r>
      <w:r/>
    </w:p>
    <w:p>
      <w:pPr>
        <w:pStyle w:val="1049"/>
        <w:pBdr/>
        <w:spacing/>
        <w:ind/>
        <w:rPr/>
      </w:pPr>
      <w:r>
        <w:t xml:space="preserve">05  |  NEXT STEP</w:t>
      </w:r>
      <w:r/>
    </w:p>
    <w:p>
      <w:pPr>
        <w:pStyle w:val="906"/>
        <w:pBdr/>
        <w:spacing/>
        <w:ind/>
        <w:jc w:val="left"/>
        <w:rPr/>
      </w:pPr>
      <w:r>
        <w:t xml:space="preserve">Turn uncertainty into a bounded determination.</w:t>
      </w:r>
      <w:r/>
    </w:p>
    <w:p>
      <w:pPr>
        <w:pBdr/>
        <w:spacing w:after="60"/>
        <w:ind/>
        <w:rPr/>
      </w:pPr>
      <w:r>
        <w:rPr>
          <w:sz w:val="18"/>
        </w:rPr>
        <w:t xml:space="preserve">If this readiness check exposes a material uncertainty, SLS can perform a bounded Continuation Validity Assessment focused on one decision boundary rather than attempting to assess an entire organization at once.</w:t>
      </w:r>
      <w:r/>
    </w:p>
    <w:p>
      <w:pPr>
        <w:pBdr/>
        <w:spacing w:after="60" w:before="120"/>
        <w:ind/>
        <w:rPr/>
      </w:pPr>
      <w:r>
        <w:rPr>
          <w:b/>
        </w:rPr>
        <w:t xml:space="preserve">1. Define the boundary</w:t>
      </w:r>
      <w:r>
        <w:rPr>
          <w:sz w:val="18"/>
        </w:rPr>
        <w:br/>
        <w:t xml:space="preserve">Select one workflow, asset, project baseline, vendor dependency, or operational decision and define the exact continuation question.</w:t>
      </w:r>
      <w:r/>
    </w:p>
    <w:p>
      <w:pPr>
        <w:pBdr/>
        <w:spacing w:after="60" w:before="120"/>
        <w:ind/>
        <w:rPr/>
      </w:pPr>
      <w:r>
        <w:rPr>
          <w:b/>
        </w:rPr>
        <w:t xml:space="preserve">2. Establish the evidence basis</w:t>
      </w:r>
      <w:r>
        <w:rPr>
          <w:sz w:val="18"/>
        </w:rPr>
        <w:br/>
        <w:t xml:space="preserve">Identify the minimum necessary authority, baseline, configuration, dependency, constraint, and operating-condition evidence.</w:t>
      </w:r>
      <w:r/>
    </w:p>
    <w:p>
      <w:pPr>
        <w:pBdr/>
        <w:spacing w:after="60" w:before="120"/>
        <w:ind/>
        <w:rPr/>
      </w:pPr>
      <w:r>
        <w:rPr>
          <w:b/>
        </w:rPr>
        <w:t xml:space="preserve">3. Record gaps without hiding them</w:t>
      </w:r>
      <w:r>
        <w:rPr>
          <w:sz w:val="18"/>
        </w:rPr>
        <w:br/>
        <w:t xml:space="preserve">Unknown, stale, missing, or contradictory evidence remains visible and is mapped to the affected validity dimension.</w:t>
      </w:r>
      <w:r/>
    </w:p>
    <w:p>
      <w:pPr>
        <w:pBdr/>
        <w:spacing w:after="60" w:before="120"/>
        <w:ind/>
        <w:rPr/>
      </w:pPr>
      <w:r>
        <w:rPr>
          <w:b/>
        </w:rPr>
        <w:t xml:space="preserve">4. Assess continuation</w:t>
      </w:r>
      <w:r>
        <w:rPr>
          <w:sz w:val="18"/>
        </w:rPr>
        <w:br/>
        <w:t xml:space="preserve">Evaluate whether the current evidence supports continued reliance within the agreed boundary.</w:t>
      </w:r>
      <w:r/>
    </w:p>
    <w:p>
      <w:pPr>
        <w:pBdr/>
        <w:spacing w:after="60" w:before="120"/>
        <w:ind/>
        <w:rPr/>
      </w:pPr>
      <w:r>
        <w:rPr>
          <w:b/>
        </w:rPr>
        <w:t xml:space="preserve">5. Produce a reconstructable record</w:t>
      </w:r>
      <w:r>
        <w:rPr>
          <w:sz w:val="18"/>
        </w:rPr>
        <w:br/>
        <w:t xml:space="preserve">Document the evidence basis, material changes, unknowns, limitations, and determination so the result can be reviewed later.</w:t>
      </w:r>
      <w:r/>
    </w:p>
    <w:tbl>
      <w:tblPr>
        <w:jc w:val="center"/>
        <w:tblW w:w="0" w:type="auto"/>
        <w:tblBorders/>
        <w:tblLayout w:type="fixed"/>
        <w:tblLook w:val="04A0" w:firstRow="1" w:lastRow="0" w:firstColumn="1" w:lastColumn="0" w:noHBand="0" w:noVBand="1"/>
      </w:tblPr>
      <w:tblGrid>
        <w:gridCol w:w="9994"/>
      </w:tblGrid>
      <w:tr>
        <w:trPr/>
        <w:tc>
          <w:tcPr>
            <w:shd w:val="clear" w:color="auto" w:fill="eef1f3"/>
            <w:tcBorders/>
            <w:tcMar>
              <w:left w:w="180" w:type="dxa"/>
              <w:top w:w="150" w:type="dxa"/>
              <w:right w:w="180" w:type="dxa"/>
              <w:bottom w:w="150" w:type="dxa"/>
            </w:tcMar>
            <w:tcW w:w="9994" w:type="dxa"/>
          </w:tcPr>
          <w:p>
            <w:pPr>
              <w:pBdr/>
              <w:spacing/>
              <w:ind/>
              <w:rPr/>
            </w:pPr>
            <w:r>
              <w:rPr>
                <w:b/>
                <w:sz w:val="24"/>
              </w:rPr>
              <w:t xml:space="preserve">REQUEST A BOUNDED CONTINUATION VALIDITY ASSESSMENT</w:t>
              <w:br/>
            </w:r>
            <w:r>
              <w:rPr>
                <w:sz w:val="21"/>
              </w:rPr>
              <w:t xml:space="preserve">Bring one real decision question. SLS will help define the assessment boundary, evidence requirements, and a fixed scope before any engagement begins.</w:t>
            </w:r>
            <w:r/>
          </w:p>
        </w:tc>
      </w:tr>
    </w:tbl>
    <w:p>
      <w:pPr>
        <w:pBdr/>
        <w:spacing w:after="60"/>
        <w:ind/>
        <w:rPr/>
      </w:pPr>
      <w:r/>
      <w:r/>
    </w:p>
    <w:p>
      <w:pPr>
        <w:pBdr/>
        <w:spacing w:after="60" w:before="240"/>
        <w:ind/>
        <w:rPr/>
      </w:pPr>
      <w:r>
        <w:rPr>
          <w:b/>
        </w:rPr>
        <w:t xml:space="preserve">Important boundaries</w:t>
      </w:r>
      <w:r/>
    </w:p>
    <w:p>
      <w:pPr>
        <w:pStyle w:val="920"/>
        <w:pBdr/>
        <w:spacing/>
        <w:ind/>
        <w:rPr/>
      </w:pPr>
      <w:r>
        <w:t xml:space="preserve">The assessment does not transfer or replace customer operational authority.</w:t>
      </w:r>
      <w:r/>
    </w:p>
    <w:p>
      <w:pPr>
        <w:pStyle w:val="920"/>
        <w:pBdr/>
        <w:spacing/>
        <w:ind/>
        <w:rPr/>
      </w:pPr>
      <w:r>
        <w:t xml:space="preserve">It does not certify that equipment, software, workflows, or environments are vulnerability-free, defect-free, or universally compliant.</w:t>
      </w:r>
      <w:r/>
    </w:p>
    <w:p>
      <w:pPr>
        <w:pStyle w:val="920"/>
        <w:pBdr/>
        <w:spacing/>
        <w:ind/>
        <w:rPr/>
      </w:pPr>
      <w:r>
        <w:t xml:space="preserve">It does not attribute malicious intent, incident responsibility, or threat actors.</w:t>
      </w:r>
      <w:r/>
    </w:p>
    <w:p>
      <w:pPr>
        <w:pStyle w:val="920"/>
        <w:pBdr/>
        <w:spacing/>
        <w:ind/>
        <w:rPr/>
      </w:pPr>
      <w:r>
        <w:t xml:space="preserve">It does not guarantee reliability, predict outages, or substitute for legal, safety, engineering, clinical, regulatory, or other accountable professional authority.</w:t>
      </w:r>
      <w:r/>
    </w:p>
    <w:p w14:paraId="017D8D46">
      <w:pPr>
        <w:pBdr/>
        <w:spacing w:after="60" w:before="280"/>
        <w:ind/>
        <w:jc w:val="center"/>
        <w:rPr/>
      </w:pPr>
      <w:r>
        <w:rPr>
          <w:b/>
          <w:sz w:val="28"/>
          <w:highlight w:val="none"/>
        </w:rPr>
      </w:r>
      <w:r>
        <w:rPr>
          <w:b/>
          <w:sz w:val="28"/>
          <w:highlight w:val="none"/>
        </w:rPr>
      </w:r>
      <w:r/>
    </w:p>
    <w:p w14:paraId="676AB5D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524E33C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b/>
          <w:color w:val="000000"/>
          <w:sz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4D604BAA">
      <w:pPr>
        <w:pBdr/>
        <w:spacing w:after="60" w:before="280"/>
        <w:ind/>
        <w:jc w:val="center"/>
        <w:rPr>
          <w:b/>
          <w:bCs/>
          <w:sz w:val="28"/>
          <w:szCs w:val="28"/>
          <w:highlight w:val="none"/>
        </w:rPr>
      </w:pPr>
      <w:r>
        <w:rPr>
          <w:b/>
          <w:sz w:val="28"/>
          <w:highlight w:val="none"/>
        </w:rPr>
      </w:r>
      <w:r>
        <w:rPr>
          <w:b/>
          <w:bCs/>
          <w:sz w:val="28"/>
          <w:szCs w:val="28"/>
          <w:highlight w:val="none"/>
        </w:rPr>
      </w:r>
      <w:r>
        <w:rPr>
          <w:b/>
          <w:bCs/>
          <w:sz w:val="28"/>
          <w:szCs w:val="28"/>
          <w:highlight w:val="none"/>
        </w:rPr>
      </w:r>
    </w:p>
    <w:p w14:paraId="6937DB4A">
      <w:pPr>
        <w:pBdr/>
        <w:spacing w:after="60" w:before="280"/>
        <w:ind/>
        <w:jc w:val="center"/>
        <w:rPr>
          <w:b/>
          <w:bCs/>
          <w:sz w:val="28"/>
          <w:szCs w:val="28"/>
          <w:highlight w:val="none"/>
        </w:rPr>
      </w:pPr>
      <w:r>
        <w:rPr>
          <w:b/>
          <w:sz w:val="28"/>
          <w:highlight w:val="none"/>
        </w:rPr>
      </w:r>
      <w:r>
        <w:rPr>
          <w:b/>
          <w:bCs/>
          <w:sz w:val="28"/>
          <w:szCs w:val="28"/>
          <w:highlight w:val="none"/>
        </w:rPr>
      </w:r>
      <w:r>
        <w:rPr>
          <w:b/>
          <w:bCs/>
          <w:sz w:val="28"/>
          <w:szCs w:val="28"/>
          <w:highlight w:val="none"/>
        </w:rPr>
      </w:r>
    </w:p>
    <w:p w14:paraId="4775F3C6">
      <w:pPr>
        <w:pBdr/>
        <w:spacing w:after="60" w:before="280"/>
        <w:ind/>
        <w:jc w:val="center"/>
        <w:rPr>
          <w:b/>
          <w:bCs/>
          <w:sz w:val="28"/>
          <w:szCs w:val="28"/>
          <w:highlight w:val="none"/>
        </w:rPr>
      </w:pPr>
      <w:r>
        <w:rPr>
          <w:b/>
          <w:sz w:val="28"/>
          <w:highlight w:val="none"/>
        </w:rPr>
      </w:r>
      <w:r>
        <w:rPr>
          <w:b/>
          <w:bCs/>
          <w:sz w:val="28"/>
          <w:szCs w:val="28"/>
          <w:highlight w:val="none"/>
        </w:rPr>
      </w:r>
      <w:r>
        <w:rPr>
          <w:b/>
          <w:bCs/>
          <w:sz w:val="28"/>
          <w:szCs w:val="28"/>
          <w:highlight w:val="none"/>
        </w:rPr>
      </w:r>
    </w:p>
    <w:p w14:paraId="1E5A851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READY TO GO DEEPER?</w:t>
      </w:r>
      <w:r/>
    </w:p>
    <w:p w14:paraId="26970F96">
      <w:pPr>
        <w:pStyle w:val="890"/>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48"/>
        </w:rPr>
        <w:t xml:space="preserve">Bounded Continuation Validity Assessment</w:t>
      </w:r>
      <w:r/>
    </w:p>
    <w:p w14:paraId="1DFAD14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$2,500 Fixed — Founding Engagement</w:t>
      </w:r>
      <w:r/>
    </w:p>
    <w:p w14:paraId="3286AA1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One decision. One bounded subject. One agreed evidence set. One reconstructable determination.</w:t>
      </w:r>
      <w:r/>
    </w:p>
    <w:p w14:paraId="70DA65B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YOU PROVIDE</w:t>
        <w:br/>
      </w:r>
      <w:r>
        <w:rPr>
          <w:rFonts w:ascii="Times New Roman" w:hAnsi="Times New Roman" w:eastAsia="Times New Roman" w:cs="Times New Roman"/>
          <w:color w:val="000000"/>
          <w:sz w:val="24"/>
        </w:rPr>
        <w:t xml:space="preserve"> Agreed evidence package + appropriate point of contact</w:t>
      </w:r>
      <w:r/>
    </w:p>
    <w:p w14:paraId="0CC465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SLS PERFORMS</w:t>
        <w:br/>
      </w:r>
      <w:r>
        <w:rPr>
          <w:rFonts w:ascii="Times New Roman" w:hAnsi="Times New Roman" w:eastAsia="Times New Roman" w:cs="Times New Roman"/>
          <w:color w:val="000000"/>
          <w:sz w:val="24"/>
        </w:rPr>
        <w:t xml:space="preserve"> Evidence normalization • baseline reconstruction • material-change identification • assumption/dependency/constraint review • continuation-validity assessment • gap identification • determination documentation</w:t>
      </w:r>
      <w:r/>
    </w:p>
    <w:p w14:paraId="43413B7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YOU RECEIVE</w:t>
        <w:br/>
      </w:r>
      <w:r>
        <w:rPr>
          <w:rFonts w:ascii="Times New Roman" w:hAnsi="Times New Roman" w:eastAsia="Times New Roman" w:cs="Times New Roman"/>
          <w:color w:val="000000"/>
          <w:sz w:val="24"/>
        </w:rPr>
        <w:t xml:space="preserve"> Executive Decision Brief • Evidence Register • Baseline &amp; Material Change Record • Continuation Validity Assessment • Determination Receipt • Evidence Gap/Revalidation Plan</w:t>
      </w:r>
      <w:r/>
    </w:p>
    <w:p w14:paraId="6177D45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50% to begin / 50% upon delivery</w:t>
      </w:r>
      <w:r/>
    </w:p>
    <w:p w14:paraId="66956C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REQUEST AN ASSESSMENT →</w:t>
      </w:r>
      <w:r/>
    </w:p>
    <w:p w14:paraId="3C80A67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Operational decisions remain entirely with the customer.</w:t>
      </w:r>
      <w:r/>
    </w:p>
    <w:p w14:paraId="61BB6641">
      <w:pPr>
        <w:pBdr/>
        <w:spacing w:after="60" w:before="280"/>
        <w:ind/>
        <w:jc w:val="center"/>
        <w:rPr>
          <w:b/>
          <w:bCs/>
          <w:sz w:val="28"/>
          <w:szCs w:val="28"/>
          <w:highlight w:val="none"/>
        </w:rPr>
      </w:pPr>
      <w:r>
        <w:rPr>
          <w:b/>
          <w:sz w:val="28"/>
          <w:highlight w:val="none"/>
        </w:rPr>
      </w:r>
      <w:r>
        <w:rPr>
          <w:rFonts w:ascii="Times New Roman" w:hAnsi="Times New Roman" w:eastAsia="Times New Roman" w:cs="Times New Roman"/>
          <w:b/>
          <w:color w:val="000000"/>
          <w:sz w:val="24"/>
        </w:rPr>
        <w:t xml:space="preserve">Ready to define the assessment?</w:t>
        <w:br/>
      </w:r>
      <w:r>
        <w:rPr>
          <w:rFonts w:ascii="Times New Roman" w:hAnsi="Times New Roman" w:eastAsia="Times New Roman" w:cs="Times New Roman"/>
          <w:color w:val="000000"/>
          <w:sz w:val="24"/>
        </w:rPr>
        <w:t xml:space="preserve">Download the </w:t>
      </w:r>
      <w:r>
        <w:rPr>
          <w:rFonts w:ascii="Times New Roman" w:hAnsi="Times New Roman" w:eastAsia="Times New Roman" w:cs="Times New Roman"/>
          <w:b/>
          <w:color w:val="000000"/>
          <w:sz w:val="24"/>
        </w:rPr>
        <w:t xml:space="preserve">Assessment Scoping Sheet</w:t>
      </w:r>
      <w:r>
        <w:rPr>
          <w:rFonts w:ascii="Times New Roman" w:hAnsi="Times New Roman" w:eastAsia="Times New Roman" w:cs="Times New Roman"/>
          <w:color w:val="000000"/>
          <w:sz w:val="24"/>
        </w:rPr>
        <w:t xml:space="preserve">, complete the known sections, and return it to Sirius Logic Systems for scope confirmation.</w:t>
        <w:br/>
      </w:r>
      <w:r>
        <w:rPr>
          <w:rFonts w:ascii="Times New Roman" w:hAnsi="Times New Roman" w:eastAsia="Times New Roman" w:cs="Times New Roman"/>
          <w:b/>
          <w:color w:val="000000"/>
          <w:sz w:val="24"/>
        </w:rPr>
        <w:t xml:space="preserve">[</w:t>
      </w:r>
      <w:r>
        <w:rPr>
          <w:rFonts w:ascii="Times New Roman" w:hAnsi="Times New Roman" w:eastAsia="Times New Roman" w:cs="Times New Roman"/>
          <w:b/>
          <w:sz w:val="24"/>
        </w:rPr>
      </w:r>
      <w:hyperlink r:id="rId11" w:tooltip="https://sls-continuation-validity.netlify.app/SLS_Assessment_Scoping_Sheet_v0.1.docx" w:history="1">
        <w:r>
          <w:rPr>
            <w:rStyle w:val="872"/>
            <w:rFonts w:ascii="Times New Roman" w:hAnsi="Times New Roman" w:eastAsia="Times New Roman" w:cs="Times New Roman"/>
            <w:b/>
            <w:sz w:val="24"/>
          </w:rPr>
          <w:t xml:space="preserve">Download the Assessment Scoping Sheet</w:t>
        </w:r>
        <w:r>
          <w:rPr>
            <w:rStyle w:val="872"/>
            <w:rFonts w:ascii="Times New Roman" w:hAnsi="Times New Roman" w:eastAsia="Times New Roman" w:cs="Times New Roman"/>
            <w:b/>
            <w:sz w:val="24"/>
          </w:rPr>
        </w:r>
      </w:hyperlink>
      <w:r>
        <w:rPr>
          <w:rFonts w:ascii="Times New Roman" w:hAnsi="Times New Roman" w:eastAsia="Times New Roman" w:cs="Times New Roman"/>
          <w:b/>
          <w:color w:val="000000"/>
          <w:sz w:val="24"/>
        </w:rPr>
        <w:t xml:space="preserve">]</w:t>
      </w:r>
      <w:r>
        <w:rPr>
          <w:b/>
          <w:bCs/>
          <w:sz w:val="28"/>
          <w:szCs w:val="28"/>
          <w:highlight w:val="none"/>
        </w:rPr>
      </w:r>
      <w:r>
        <w:rPr>
          <w:b/>
          <w:bCs/>
          <w:sz w:val="28"/>
          <w:szCs w:val="28"/>
          <w:highlight w:val="none"/>
        </w:rPr>
      </w:r>
    </w:p>
    <w:p w14:paraId="739CD3EA">
      <w:pPr>
        <w:pBdr/>
        <w:spacing w:after="60" w:before="280"/>
        <w:ind/>
        <w:jc w:val="center"/>
        <w:rPr>
          <w:b/>
          <w:bCs/>
          <w:sz w:val="28"/>
          <w:szCs w:val="28"/>
          <w:highlight w:val="none"/>
        </w:rPr>
      </w:pPr>
      <w:r>
        <w:rPr>
          <w:b/>
          <w:sz w:val="28"/>
          <w:highlight w:val="none"/>
        </w:rPr>
      </w:r>
      <w:r>
        <w:rPr>
          <w:b/>
          <w:bCs/>
          <w:sz w:val="28"/>
          <w:szCs w:val="28"/>
          <w:highlight w:val="none"/>
        </w:rPr>
      </w:r>
      <w:r>
        <w:rPr>
          <w:b/>
          <w:bCs/>
          <w:sz w:val="28"/>
          <w:szCs w:val="28"/>
          <w:highlight w:val="none"/>
        </w:rPr>
      </w:r>
    </w:p>
    <w:p>
      <w:pPr>
        <w:pBdr/>
        <w:spacing w:after="60" w:before="280"/>
        <w:ind/>
        <w:jc w:val="center"/>
        <w:rPr>
          <w:b/>
          <w:bCs/>
          <w:sz w:val="28"/>
          <w:szCs w:val="28"/>
          <w:highlight w:val="none"/>
        </w:rPr>
      </w:pPr>
      <w:r>
        <w:rPr>
          <w:b/>
          <w:sz w:val="28"/>
        </w:rPr>
        <w:t xml:space="preserve">SIRIUS LOGIC SYSTEMS</w:t>
      </w:r>
      <w:r>
        <w:rPr>
          <w:b/>
          <w:bCs/>
          <w:sz w:val="28"/>
          <w:szCs w:val="28"/>
          <w:highlight w:val="none"/>
        </w:rPr>
      </w:r>
      <w:r>
        <w:rPr>
          <w:b/>
          <w:bCs/>
          <w:sz w:val="28"/>
          <w:szCs w:val="28"/>
          <w:highlight w:val="none"/>
        </w:rPr>
      </w:r>
    </w:p>
    <w:p w14:paraId="22DC03EA">
      <w:pPr>
        <w:pBdr/>
        <w:spacing w:after="60" w:before="280"/>
        <w:ind/>
        <w:jc w:val="center"/>
        <w:rPr>
          <w:b/>
          <w:bCs/>
          <w:sz w:val="28"/>
          <w:szCs w:val="28"/>
          <w:highlight w:val="none"/>
        </w:rPr>
      </w:pPr>
      <w:r>
        <w:rPr>
          <w:b/>
          <w:sz w:val="28"/>
          <w:highlight w:val="none"/>
        </w:rPr>
      </w:r>
      <w:hyperlink r:id="rId12" w:tooltip="http://eh5j065v@slsrux.anonaddy.com" w:history="1">
        <w:r>
          <w:rPr>
            <w:rStyle w:val="872"/>
            <w:b/>
            <w:sz w:val="28"/>
            <w:highlight w:val="none"/>
          </w:rPr>
        </w:r>
        <w:r>
          <w:rPr>
            <w:rStyle w:val="872"/>
            <w:rFonts w:ascii="Liberation Sans" w:hAnsi="Liberation Sans" w:eastAsia="Liberation Sans" w:cs="Liberation Sans"/>
            <w:b/>
            <w:sz w:val="24"/>
            <w:highlight w:val="white"/>
          </w:rPr>
          <w:t xml:space="preserve">eh5j065v</w:t>
        </w:r>
        <w:r>
          <w:rPr>
            <w:rStyle w:val="872"/>
            <w:rFonts w:ascii="Liberation Sans" w:hAnsi="Liberation Sans" w:eastAsia="Liberation Sans" w:cs="Liberation Sans"/>
            <w:b/>
            <w:sz w:val="24"/>
            <w:highlight w:val="white"/>
          </w:rPr>
          <w:t xml:space="preserve">@slsrux.anonaddy.com</w:t>
        </w:r>
        <w:r>
          <w:rPr>
            <w:rStyle w:val="872"/>
            <w:b/>
            <w:sz w:val="28"/>
            <w:highlight w:val="none"/>
          </w:rPr>
        </w:r>
        <w:r>
          <w:rPr>
            <w:rStyle w:val="872"/>
            <w:b/>
            <w:sz w:val="28"/>
            <w:highlight w:val="none"/>
          </w:rPr>
        </w:r>
      </w:hyperlink>
      <w:r>
        <w:rPr>
          <w:b/>
          <w:bCs/>
          <w:sz w:val="28"/>
          <w:szCs w:val="28"/>
          <w:highlight w:val="none"/>
        </w:rPr>
      </w:r>
      <w:r>
        <w:rPr>
          <w:b/>
          <w:bCs/>
          <w:sz w:val="28"/>
          <w:szCs w:val="28"/>
          <w:highlight w:val="none"/>
        </w:rPr>
      </w:r>
    </w:p>
    <w:p>
      <w:pPr>
        <w:pBdr/>
        <w:spacing w:after="60"/>
        <w:ind/>
        <w:jc w:val="center"/>
        <w:rPr/>
      </w:pPr>
      <w:r>
        <w:rPr>
          <w:i/>
          <w:sz w:val="18"/>
        </w:rPr>
        <w:t xml:space="preserve">Continuation validity for changing operational realities.</w:t>
      </w:r>
      <w:r/>
    </w:p>
    <w:sectPr>
      <w:footerReference w:type="default" r:id="rId9"/>
      <w:footnotePr/>
      <w:endnotePr/>
      <w:type w:val="nextPage"/>
      <w:pgSz w:h="15840" w:orient="portrait" w:w="12240"/>
      <w:pgMar w:top="936" w:right="1123" w:bottom="936" w:left="1123"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Times New Roman">
    <w:panose1 w:val="02020603050405020304"/>
  </w:font>
  <w:font w:name="Symbol">
    <w:panose1 w:val="05010000000000000000"/>
  </w:font>
  <w:font w:name="Courier">
    <w:panose1 w:val="05040102010807070707"/>
  </w:font>
  <w:font w:name="Aptos Display">
    <w:panose1 w:val="05040102010807070707"/>
  </w:font>
  <w:font w:name="Aptos">
    <w:panose1 w:val="05040102010807070707"/>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BF69ED6">
    <w:pPr>
      <w:pStyle w:val="888"/>
      <w:pBdr/>
      <w:spacing/>
      <w:ind/>
      <w:jc w:val="right"/>
      <w:rPr/>
    </w:pPr>
    <w:fldSimple w:instr="PAGE \* MERGEFORMAT">
      <w:r>
        <w:t xml:space="preserve">1</w:t>
      </w:r>
    </w:fldSimple>
    <w:r/>
    <w:r/>
  </w:p>
  <w:p w14:paraId="2658BADF">
    <w:pPr>
      <w:pStyle w:val="88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25"/>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24"/>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22"/>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21"/>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23"/>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20"/>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1">
    <w:name w:val="Table Grid Light"/>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Plain Table 1"/>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Plain Table 2"/>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Plain Table 3"/>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Plain Table 4"/>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5"/>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1 Light"/>
    <w:basedOn w:val="90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1 Light - Accent 1"/>
    <w:basedOn w:val="9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1 Light - Accent 2"/>
    <w:basedOn w:val="9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 Accent 3"/>
    <w:basedOn w:val="9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 Accent 4"/>
    <w:basedOn w:val="9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5"/>
    <w:basedOn w:val="9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6"/>
    <w:basedOn w:val="9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2"/>
    <w:basedOn w:val="9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2 - Accent 1"/>
    <w:basedOn w:val="9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2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5"/>
    <w:basedOn w:val="9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6"/>
    <w:basedOn w:val="9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3"/>
    <w:basedOn w:val="9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3 - Accent 1"/>
    <w:basedOn w:val="9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3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5"/>
    <w:basedOn w:val="9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6"/>
    <w:basedOn w:val="9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4"/>
    <w:basedOn w:val="90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4 - Accent 1"/>
    <w:basedOn w:val="90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4 - Accent 2"/>
    <w:basedOn w:val="90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 Accent 3"/>
    <w:basedOn w:val="90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 Accent 4"/>
    <w:basedOn w:val="90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5"/>
    <w:basedOn w:val="90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6"/>
    <w:basedOn w:val="90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5 Dark"/>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5 Dark- Accent 1"/>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5 Dark - Accent 2"/>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 Accent 3"/>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Accent 4"/>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 Accent 5"/>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 Accent 6"/>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6 Colorful"/>
    <w:basedOn w:val="90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3">
    <w:name w:val="Grid Table 6 Colorful - Accent 1"/>
    <w:basedOn w:val="90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4">
    <w:name w:val="Grid Table 6 Colorful - Accent 2"/>
    <w:basedOn w:val="9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5">
    <w:name w:val="Grid Table 6 Colorful - Accent 3"/>
    <w:basedOn w:val="90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6">
    <w:name w:val="Grid Table 6 Colorful - Accent 4"/>
    <w:basedOn w:val="9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7">
    <w:name w:val="Grid Table 6 Colorful - Accent 5"/>
    <w:basedOn w:val="90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8">
    <w:name w:val="Grid Table 6 Colorful - Accent 6"/>
    <w:basedOn w:val="90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9">
    <w:name w:val="Grid Table 7 Colorful"/>
    <w:basedOn w:val="90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7 Colorful - Accent 1"/>
    <w:basedOn w:val="90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7 Colorful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7 Colorful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7 Colorful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5"/>
    <w:basedOn w:val="90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6"/>
    <w:basedOn w:val="90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1 Light"/>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1 Light - Accent 1"/>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1 Light - Accent 2"/>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 Accent 3"/>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 Accent 4"/>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5"/>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6"/>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2"/>
    <w:basedOn w:val="90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2 - Accent 1"/>
    <w:basedOn w:val="90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2 - Accent 2"/>
    <w:basedOn w:val="90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 Accent 3"/>
    <w:basedOn w:val="90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 Accent 4"/>
    <w:basedOn w:val="90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5"/>
    <w:basedOn w:val="90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6"/>
    <w:basedOn w:val="90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3"/>
    <w:basedOn w:val="9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3 - Accent 1"/>
    <w:basedOn w:val="90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3 - Accent 2"/>
    <w:basedOn w:val="9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 Accent 3"/>
    <w:basedOn w:val="90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 Accent 4"/>
    <w:basedOn w:val="9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5"/>
    <w:basedOn w:val="90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6"/>
    <w:basedOn w:val="90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4"/>
    <w:basedOn w:val="9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4 - Accent 1"/>
    <w:basedOn w:val="90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4 - Accent 2"/>
    <w:basedOn w:val="90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 Accent 3"/>
    <w:basedOn w:val="90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 Accent 4"/>
    <w:basedOn w:val="90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5"/>
    <w:basedOn w:val="90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6"/>
    <w:basedOn w:val="90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5 Dark"/>
    <w:basedOn w:val="90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5">
    <w:name w:val="List Table 5 Dark - Accent 1"/>
    <w:basedOn w:val="90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6">
    <w:name w:val="List Table 5 Dark - Accent 2"/>
    <w:basedOn w:val="90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7">
    <w:name w:val="List Table 5 Dark - Accent 3"/>
    <w:basedOn w:val="90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5 Dark - Accent 4"/>
    <w:basedOn w:val="90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5"/>
    <w:basedOn w:val="90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6"/>
    <w:basedOn w:val="90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6 Colorful"/>
    <w:basedOn w:val="90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6 Colorful - Accent 1"/>
    <w:basedOn w:val="90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6 Colorful - Accent 2"/>
    <w:basedOn w:val="90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6 Colorful - Accent 3"/>
    <w:basedOn w:val="90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6 Colorful - Accent 4"/>
    <w:basedOn w:val="90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5"/>
    <w:basedOn w:val="90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6"/>
    <w:basedOn w:val="90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7 Colorful"/>
    <w:basedOn w:val="90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9">
    <w:name w:val="List Table 7 Colorful - Accent 1"/>
    <w:basedOn w:val="90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0">
    <w:name w:val="List Table 7 Colorful - Accent 2"/>
    <w:basedOn w:val="90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1">
    <w:name w:val="List Table 7 Colorful - Accent 3"/>
    <w:basedOn w:val="90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2">
    <w:name w:val="List Table 7 Colorful - Accent 4"/>
    <w:basedOn w:val="90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3">
    <w:name w:val="List Table 7 Colorful - Accent 5"/>
    <w:basedOn w:val="90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4">
    <w:name w:val="List Table 7 Colorful - Accent 6"/>
    <w:basedOn w:val="90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5">
    <w:name w:val="Lined - Accent"/>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ned - Accent 1"/>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ned - Accent 2"/>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ned - Accent 3"/>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ned - Accent 4"/>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5"/>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6"/>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amp; Lined - Accent"/>
    <w:basedOn w:val="90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amp; Lined - Accent 1"/>
    <w:basedOn w:val="90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amp; Lined - Accent 2"/>
    <w:basedOn w:val="90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3"/>
    <w:basedOn w:val="90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4"/>
    <w:basedOn w:val="90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5"/>
    <w:basedOn w:val="90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6"/>
    <w:basedOn w:val="90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w:basedOn w:val="90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 Accent 1"/>
    <w:basedOn w:val="9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 Accent 2"/>
    <w:basedOn w:val="9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 Accent 3"/>
    <w:basedOn w:val="9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 Accent 4"/>
    <w:basedOn w:val="9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5"/>
    <w:basedOn w:val="9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6"/>
    <w:basedOn w:val="9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6">
    <w:name w:val="footnote text"/>
    <w:basedOn w:val="885"/>
    <w:link w:val="867"/>
    <w:uiPriority w:val="99"/>
    <w:semiHidden/>
    <w:unhideWhenUsed/>
    <w:pPr>
      <w:pBdr/>
      <w:spacing w:after="0" w:line="240" w:lineRule="auto"/>
      <w:ind/>
    </w:pPr>
    <w:rPr>
      <w:sz w:val="20"/>
      <w:szCs w:val="20"/>
    </w:rPr>
  </w:style>
  <w:style w:type="character" w:styleId="867">
    <w:name w:val="Footnote Text Char"/>
    <w:basedOn w:val="899"/>
    <w:link w:val="866"/>
    <w:uiPriority w:val="99"/>
    <w:semiHidden/>
    <w:pPr>
      <w:pBdr/>
      <w:spacing/>
      <w:ind/>
    </w:pPr>
    <w:rPr>
      <w:sz w:val="20"/>
      <w:szCs w:val="20"/>
    </w:rPr>
  </w:style>
  <w:style w:type="character" w:styleId="868">
    <w:name w:val="footnote reference"/>
    <w:basedOn w:val="899"/>
    <w:uiPriority w:val="99"/>
    <w:semiHidden/>
    <w:unhideWhenUsed/>
    <w:pPr>
      <w:pBdr/>
      <w:spacing/>
      <w:ind/>
    </w:pPr>
    <w:rPr>
      <w:vertAlign w:val="superscript"/>
    </w:rPr>
  </w:style>
  <w:style w:type="paragraph" w:styleId="869">
    <w:name w:val="endnote text"/>
    <w:basedOn w:val="885"/>
    <w:link w:val="870"/>
    <w:uiPriority w:val="99"/>
    <w:semiHidden/>
    <w:unhideWhenUsed/>
    <w:pPr>
      <w:pBdr/>
      <w:spacing w:after="0" w:line="240" w:lineRule="auto"/>
      <w:ind/>
    </w:pPr>
    <w:rPr>
      <w:sz w:val="20"/>
      <w:szCs w:val="20"/>
    </w:rPr>
  </w:style>
  <w:style w:type="character" w:styleId="870">
    <w:name w:val="Endnote Text Char"/>
    <w:basedOn w:val="899"/>
    <w:link w:val="869"/>
    <w:uiPriority w:val="99"/>
    <w:semiHidden/>
    <w:pPr>
      <w:pBdr/>
      <w:spacing/>
      <w:ind/>
    </w:pPr>
    <w:rPr>
      <w:sz w:val="20"/>
      <w:szCs w:val="20"/>
    </w:rPr>
  </w:style>
  <w:style w:type="character" w:styleId="871">
    <w:name w:val="endnote reference"/>
    <w:basedOn w:val="899"/>
    <w:uiPriority w:val="99"/>
    <w:semiHidden/>
    <w:unhideWhenUsed/>
    <w:pPr>
      <w:pBdr/>
      <w:spacing/>
      <w:ind/>
    </w:pPr>
    <w:rPr>
      <w:vertAlign w:val="superscript"/>
    </w:rPr>
  </w:style>
  <w:style w:type="character" w:styleId="872">
    <w:name w:val="Hyperlink"/>
    <w:basedOn w:val="899"/>
    <w:uiPriority w:val="99"/>
    <w:unhideWhenUsed/>
    <w:pPr>
      <w:pBdr/>
      <w:spacing/>
      <w:ind/>
    </w:pPr>
    <w:rPr>
      <w:color w:val="0563c1" w:themeColor="hyperlink"/>
      <w:u w:val="single"/>
    </w:rPr>
  </w:style>
  <w:style w:type="character" w:styleId="873">
    <w:name w:val="FollowedHyperlink"/>
    <w:basedOn w:val="899"/>
    <w:uiPriority w:val="99"/>
    <w:semiHidden/>
    <w:unhideWhenUsed/>
    <w:pPr>
      <w:pBdr/>
      <w:spacing/>
      <w:ind/>
    </w:pPr>
    <w:rPr>
      <w:color w:val="954f72" w:themeColor="followedHyperlink"/>
      <w:u w:val="single"/>
    </w:rPr>
  </w:style>
  <w:style w:type="paragraph" w:styleId="874">
    <w:name w:val="toc 1"/>
    <w:basedOn w:val="885"/>
    <w:next w:val="885"/>
    <w:uiPriority w:val="39"/>
    <w:unhideWhenUsed/>
    <w:pPr>
      <w:pBdr/>
      <w:spacing w:after="100"/>
      <w:ind/>
    </w:pPr>
  </w:style>
  <w:style w:type="paragraph" w:styleId="875">
    <w:name w:val="toc 2"/>
    <w:basedOn w:val="885"/>
    <w:next w:val="885"/>
    <w:uiPriority w:val="39"/>
    <w:unhideWhenUsed/>
    <w:pPr>
      <w:pBdr/>
      <w:spacing w:after="100"/>
      <w:ind w:left="220"/>
    </w:pPr>
  </w:style>
  <w:style w:type="paragraph" w:styleId="876">
    <w:name w:val="toc 3"/>
    <w:basedOn w:val="885"/>
    <w:next w:val="885"/>
    <w:uiPriority w:val="39"/>
    <w:unhideWhenUsed/>
    <w:pPr>
      <w:pBdr/>
      <w:spacing w:after="100"/>
      <w:ind w:left="440"/>
    </w:pPr>
  </w:style>
  <w:style w:type="paragraph" w:styleId="877">
    <w:name w:val="toc 4"/>
    <w:basedOn w:val="885"/>
    <w:next w:val="885"/>
    <w:uiPriority w:val="39"/>
    <w:unhideWhenUsed/>
    <w:pPr>
      <w:pBdr/>
      <w:spacing w:after="100"/>
      <w:ind w:left="660"/>
    </w:pPr>
  </w:style>
  <w:style w:type="paragraph" w:styleId="878">
    <w:name w:val="toc 5"/>
    <w:basedOn w:val="885"/>
    <w:next w:val="885"/>
    <w:uiPriority w:val="39"/>
    <w:unhideWhenUsed/>
    <w:pPr>
      <w:pBdr/>
      <w:spacing w:after="100"/>
      <w:ind w:left="880"/>
    </w:pPr>
  </w:style>
  <w:style w:type="paragraph" w:styleId="879">
    <w:name w:val="toc 6"/>
    <w:basedOn w:val="885"/>
    <w:next w:val="885"/>
    <w:uiPriority w:val="39"/>
    <w:unhideWhenUsed/>
    <w:pPr>
      <w:pBdr/>
      <w:spacing w:after="100"/>
      <w:ind w:left="1100"/>
    </w:pPr>
  </w:style>
  <w:style w:type="paragraph" w:styleId="880">
    <w:name w:val="toc 7"/>
    <w:basedOn w:val="885"/>
    <w:next w:val="885"/>
    <w:uiPriority w:val="39"/>
    <w:unhideWhenUsed/>
    <w:pPr>
      <w:pBdr/>
      <w:spacing w:after="100"/>
      <w:ind w:left="1320"/>
    </w:pPr>
  </w:style>
  <w:style w:type="paragraph" w:styleId="881">
    <w:name w:val="toc 8"/>
    <w:basedOn w:val="885"/>
    <w:next w:val="885"/>
    <w:uiPriority w:val="39"/>
    <w:unhideWhenUsed/>
    <w:pPr>
      <w:pBdr/>
      <w:spacing w:after="100"/>
      <w:ind w:left="1540"/>
    </w:pPr>
  </w:style>
  <w:style w:type="paragraph" w:styleId="882">
    <w:name w:val="toc 9"/>
    <w:basedOn w:val="885"/>
    <w:next w:val="885"/>
    <w:uiPriority w:val="39"/>
    <w:unhideWhenUsed/>
    <w:pPr>
      <w:pBdr/>
      <w:spacing w:after="100"/>
      <w:ind w:left="1760"/>
    </w:pPr>
  </w:style>
  <w:style w:type="character" w:styleId="883">
    <w:name w:val="Placeholder Text"/>
    <w:basedOn w:val="899"/>
    <w:uiPriority w:val="99"/>
    <w:semiHidden/>
    <w:pPr>
      <w:pBdr/>
      <w:spacing/>
      <w:ind/>
    </w:pPr>
    <w:rPr>
      <w:color w:val="666666"/>
    </w:rPr>
  </w:style>
  <w:style w:type="paragraph" w:styleId="884">
    <w:name w:val="table of figures"/>
    <w:basedOn w:val="885"/>
    <w:next w:val="885"/>
    <w:uiPriority w:val="99"/>
    <w:unhideWhenUsed/>
    <w:pPr>
      <w:pBdr/>
      <w:spacing w:after="0" w:afterAutospacing="0"/>
      <w:ind/>
    </w:pPr>
  </w:style>
  <w:style w:type="paragraph" w:styleId="885" w:default="1">
    <w:name w:val="Normal"/>
    <w:qFormat/>
    <w:pPr>
      <w:pBdr/>
      <w:spacing w:after="120"/>
      <w:ind/>
    </w:pPr>
    <w:rPr>
      <w:rFonts w:ascii="Aptos" w:hAnsi="Aptos"/>
      <w:sz w:val="21"/>
    </w:rPr>
  </w:style>
  <w:style w:type="paragraph" w:styleId="886">
    <w:name w:val="Header"/>
    <w:basedOn w:val="885"/>
    <w:link w:val="887"/>
    <w:uiPriority w:val="99"/>
    <w:unhideWhenUsed/>
    <w:pPr>
      <w:pBdr/>
      <w:tabs>
        <w:tab w:val="center" w:leader="none" w:pos="4680"/>
        <w:tab w:val="right" w:leader="none" w:pos="9360"/>
      </w:tabs>
      <w:spacing w:after="0" w:line="240" w:lineRule="auto"/>
      <w:ind/>
    </w:pPr>
  </w:style>
  <w:style w:type="character" w:styleId="887" w:customStyle="1">
    <w:name w:val="Header Char"/>
    <w:basedOn w:val="899"/>
    <w:link w:val="886"/>
    <w:uiPriority w:val="99"/>
    <w:pPr>
      <w:pBdr/>
      <w:spacing/>
      <w:ind/>
    </w:pPr>
  </w:style>
  <w:style w:type="paragraph" w:styleId="888">
    <w:name w:val="Footer"/>
    <w:basedOn w:val="885"/>
    <w:link w:val="889"/>
    <w:uiPriority w:val="99"/>
    <w:unhideWhenUsed/>
    <w:pPr>
      <w:pBdr/>
      <w:tabs>
        <w:tab w:val="center" w:leader="none" w:pos="4680"/>
        <w:tab w:val="right" w:leader="none" w:pos="9360"/>
      </w:tabs>
      <w:spacing w:after="0" w:line="240" w:lineRule="auto"/>
      <w:ind/>
    </w:pPr>
  </w:style>
  <w:style w:type="character" w:styleId="889" w:customStyle="1">
    <w:name w:val="Footer Char"/>
    <w:basedOn w:val="899"/>
    <w:link w:val="888"/>
    <w:uiPriority w:val="99"/>
    <w:pPr>
      <w:pBdr/>
      <w:spacing/>
      <w:ind/>
    </w:pPr>
  </w:style>
  <w:style w:type="paragraph" w:styleId="890">
    <w:name w:val="Heading 1"/>
    <w:basedOn w:val="885"/>
    <w:next w:val="885"/>
    <w:link w:val="903"/>
    <w:uiPriority w:val="9"/>
    <w:qFormat/>
    <w:pPr>
      <w:keepNext w:val="true"/>
      <w:keepLines w:val="true"/>
      <w:pBdr/>
      <w:spacing w:after="0" w:before="480"/>
      <w:ind/>
      <w:outlineLvl w:val="0"/>
    </w:pPr>
    <w:rPr>
      <w:rFonts w:ascii="Aptos Display" w:hAnsi="Aptos Display" w:asciiTheme="majorHAnsi" w:hAnsiTheme="majorHAnsi" w:eastAsiaTheme="majorEastAsia" w:cstheme="majorBidi"/>
      <w:b/>
      <w:bCs/>
      <w:color w:val="365f91" w:themeColor="accent1" w:themeShade="BF"/>
      <w:sz w:val="44"/>
      <w:szCs w:val="28"/>
    </w:rPr>
  </w:style>
  <w:style w:type="paragraph" w:styleId="891">
    <w:name w:val="Heading 2"/>
    <w:basedOn w:val="885"/>
    <w:next w:val="885"/>
    <w:link w:val="904"/>
    <w:uiPriority w:val="9"/>
    <w:unhideWhenUsed/>
    <w:qFormat/>
    <w:pPr>
      <w:keepNext w:val="true"/>
      <w:keepLines w:val="true"/>
      <w:pBdr/>
      <w:spacing w:after="0" w:before="200"/>
      <w:ind/>
      <w:outlineLvl w:val="1"/>
    </w:pPr>
    <w:rPr>
      <w:rFonts w:ascii="Aptos Display" w:hAnsi="Aptos Display" w:asciiTheme="majorHAnsi" w:hAnsiTheme="majorHAnsi" w:eastAsiaTheme="majorEastAsia" w:cstheme="majorBidi"/>
      <w:b/>
      <w:bCs/>
      <w:color w:val="4f81bd" w:themeColor="accent1"/>
      <w:sz w:val="26"/>
      <w:szCs w:val="26"/>
    </w:rPr>
  </w:style>
  <w:style w:type="paragraph" w:styleId="892">
    <w:name w:val="Heading 3"/>
    <w:basedOn w:val="885"/>
    <w:next w:val="885"/>
    <w:link w:val="905"/>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893">
    <w:name w:val="Heading 4"/>
    <w:basedOn w:val="885"/>
    <w:next w:val="885"/>
    <w:link w:val="933"/>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894">
    <w:name w:val="Heading 5"/>
    <w:basedOn w:val="885"/>
    <w:next w:val="885"/>
    <w:link w:val="934"/>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895">
    <w:name w:val="Heading 6"/>
    <w:basedOn w:val="885"/>
    <w:next w:val="885"/>
    <w:link w:val="935"/>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896">
    <w:name w:val="Heading 7"/>
    <w:basedOn w:val="885"/>
    <w:next w:val="885"/>
    <w:link w:val="936"/>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897">
    <w:name w:val="Heading 8"/>
    <w:basedOn w:val="885"/>
    <w:next w:val="885"/>
    <w:link w:val="937"/>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898">
    <w:name w:val="Heading 9"/>
    <w:basedOn w:val="885"/>
    <w:next w:val="885"/>
    <w:link w:val="938"/>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899" w:default="1">
    <w:name w:val="Default Paragraph Font"/>
    <w:uiPriority w:val="1"/>
    <w:semiHidden/>
    <w:unhideWhenUsed/>
    <w:pPr>
      <w:pBdr/>
      <w:spacing/>
      <w:ind/>
    </w:pPr>
  </w:style>
  <w:style w:type="table" w:styleId="90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01" w:default="1">
    <w:name w:val="No List"/>
    <w:uiPriority w:val="99"/>
    <w:semiHidden/>
    <w:unhideWhenUsed/>
    <w:pPr>
      <w:pBdr/>
      <w:spacing/>
      <w:ind/>
    </w:pPr>
  </w:style>
  <w:style w:type="paragraph" w:styleId="902">
    <w:name w:val="No Spacing"/>
    <w:uiPriority w:val="1"/>
    <w:qFormat/>
    <w:pPr>
      <w:pBdr/>
      <w:spacing w:after="0" w:line="240" w:lineRule="auto"/>
      <w:ind/>
    </w:pPr>
  </w:style>
  <w:style w:type="character" w:styleId="903" w:customStyle="1">
    <w:name w:val="Heading 1 Char"/>
    <w:basedOn w:val="899"/>
    <w:link w:val="890"/>
    <w:uiPriority w:val="9"/>
    <w:pPr>
      <w:pBdr/>
      <w:spacing/>
      <w:ind/>
    </w:pPr>
    <w:rPr>
      <w:rFonts w:asciiTheme="majorHAnsi" w:hAnsiTheme="majorHAnsi" w:eastAsiaTheme="majorEastAsia" w:cstheme="majorBidi"/>
      <w:b/>
      <w:bCs/>
      <w:color w:val="365f91" w:themeColor="accent1" w:themeShade="BF"/>
      <w:sz w:val="28"/>
      <w:szCs w:val="28"/>
    </w:rPr>
  </w:style>
  <w:style w:type="character" w:styleId="904" w:customStyle="1">
    <w:name w:val="Heading 2 Char"/>
    <w:basedOn w:val="899"/>
    <w:link w:val="891"/>
    <w:uiPriority w:val="9"/>
    <w:pPr>
      <w:pBdr/>
      <w:spacing/>
      <w:ind/>
    </w:pPr>
    <w:rPr>
      <w:rFonts w:asciiTheme="majorHAnsi" w:hAnsiTheme="majorHAnsi" w:eastAsiaTheme="majorEastAsia" w:cstheme="majorBidi"/>
      <w:b/>
      <w:bCs/>
      <w:color w:val="4f81bd" w:themeColor="accent1"/>
      <w:sz w:val="26"/>
      <w:szCs w:val="26"/>
    </w:rPr>
  </w:style>
  <w:style w:type="character" w:styleId="905" w:customStyle="1">
    <w:name w:val="Heading 3 Char"/>
    <w:basedOn w:val="899"/>
    <w:link w:val="892"/>
    <w:uiPriority w:val="9"/>
    <w:pPr>
      <w:pBdr/>
      <w:spacing/>
      <w:ind/>
    </w:pPr>
    <w:rPr>
      <w:rFonts w:asciiTheme="majorHAnsi" w:hAnsiTheme="majorHAnsi" w:eastAsiaTheme="majorEastAsia" w:cstheme="majorBidi"/>
      <w:b/>
      <w:bCs/>
      <w:color w:val="4f81bd" w:themeColor="accent1"/>
    </w:rPr>
  </w:style>
  <w:style w:type="paragraph" w:styleId="906">
    <w:name w:val="Title"/>
    <w:basedOn w:val="885"/>
    <w:next w:val="885"/>
    <w:link w:val="907"/>
    <w:uiPriority w:val="10"/>
    <w:qFormat/>
    <w:pPr>
      <w:pBdr>
        <w:bottom w:val="single" w:color="4f81bd" w:themeColor="accent1" w:sz="8" w:space="4"/>
      </w:pBdr>
      <w:spacing w:after="300" w:line="240" w:lineRule="auto"/>
      <w:ind/>
      <w:contextualSpacing w:val="true"/>
    </w:pPr>
    <w:rPr>
      <w:rFonts w:ascii="Aptos Display" w:hAnsi="Aptos Display" w:asciiTheme="majorHAnsi" w:hAnsiTheme="majorHAnsi" w:eastAsiaTheme="majorEastAsia" w:cstheme="majorBidi"/>
      <w:b/>
      <w:color w:val="17365d" w:themeColor="text2" w:themeShade="BF"/>
      <w:spacing w:val="5"/>
      <w:sz w:val="60"/>
      <w:szCs w:val="52"/>
    </w:rPr>
  </w:style>
  <w:style w:type="character" w:styleId="907" w:customStyle="1">
    <w:name w:val="Title Char"/>
    <w:basedOn w:val="899"/>
    <w:link w:val="906"/>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08">
    <w:name w:val="Subtitle"/>
    <w:basedOn w:val="885"/>
    <w:next w:val="885"/>
    <w:link w:val="909"/>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09" w:customStyle="1">
    <w:name w:val="Subtitle Char"/>
    <w:basedOn w:val="899"/>
    <w:link w:val="908"/>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10">
    <w:name w:val="List Paragraph"/>
    <w:basedOn w:val="885"/>
    <w:uiPriority w:val="34"/>
    <w:qFormat/>
    <w:pPr>
      <w:pBdr/>
      <w:spacing/>
      <w:ind w:left="720"/>
      <w:contextualSpacing w:val="true"/>
    </w:pPr>
  </w:style>
  <w:style w:type="paragraph" w:styleId="911">
    <w:name w:val="Body Text"/>
    <w:basedOn w:val="885"/>
    <w:link w:val="912"/>
    <w:uiPriority w:val="99"/>
    <w:unhideWhenUsed/>
    <w:pPr>
      <w:pBdr/>
      <w:spacing w:after="120"/>
      <w:ind/>
    </w:pPr>
  </w:style>
  <w:style w:type="character" w:styleId="912" w:customStyle="1">
    <w:name w:val="Body Text Char"/>
    <w:basedOn w:val="899"/>
    <w:link w:val="911"/>
    <w:uiPriority w:val="99"/>
    <w:pPr>
      <w:pBdr/>
      <w:spacing/>
      <w:ind/>
    </w:pPr>
  </w:style>
  <w:style w:type="paragraph" w:styleId="913">
    <w:name w:val="Body Text 2"/>
    <w:basedOn w:val="885"/>
    <w:link w:val="914"/>
    <w:uiPriority w:val="99"/>
    <w:unhideWhenUsed/>
    <w:pPr>
      <w:pBdr/>
      <w:spacing w:after="120" w:line="480" w:lineRule="auto"/>
      <w:ind/>
    </w:pPr>
  </w:style>
  <w:style w:type="character" w:styleId="914" w:customStyle="1">
    <w:name w:val="Body Text 2 Char"/>
    <w:basedOn w:val="899"/>
    <w:link w:val="913"/>
    <w:uiPriority w:val="99"/>
    <w:pPr>
      <w:pBdr/>
      <w:spacing/>
      <w:ind/>
    </w:pPr>
  </w:style>
  <w:style w:type="paragraph" w:styleId="915">
    <w:name w:val="Body Text 3"/>
    <w:basedOn w:val="885"/>
    <w:link w:val="916"/>
    <w:uiPriority w:val="99"/>
    <w:unhideWhenUsed/>
    <w:pPr>
      <w:pBdr/>
      <w:spacing w:after="120"/>
      <w:ind/>
    </w:pPr>
    <w:rPr>
      <w:sz w:val="16"/>
      <w:szCs w:val="16"/>
    </w:rPr>
  </w:style>
  <w:style w:type="character" w:styleId="916" w:customStyle="1">
    <w:name w:val="Body Text 3 Char"/>
    <w:basedOn w:val="899"/>
    <w:link w:val="915"/>
    <w:uiPriority w:val="99"/>
    <w:pPr>
      <w:pBdr/>
      <w:spacing/>
      <w:ind/>
    </w:pPr>
    <w:rPr>
      <w:sz w:val="16"/>
      <w:szCs w:val="16"/>
    </w:rPr>
  </w:style>
  <w:style w:type="paragraph" w:styleId="917">
    <w:name w:val="List"/>
    <w:basedOn w:val="885"/>
    <w:uiPriority w:val="99"/>
    <w:unhideWhenUsed/>
    <w:pPr>
      <w:pBdr/>
      <w:spacing/>
      <w:ind w:hanging="360" w:left="360"/>
      <w:contextualSpacing w:val="true"/>
    </w:pPr>
  </w:style>
  <w:style w:type="paragraph" w:styleId="918">
    <w:name w:val="List 2"/>
    <w:basedOn w:val="885"/>
    <w:uiPriority w:val="99"/>
    <w:unhideWhenUsed/>
    <w:pPr>
      <w:pBdr/>
      <w:spacing/>
      <w:ind w:hanging="360" w:left="720"/>
      <w:contextualSpacing w:val="true"/>
    </w:pPr>
  </w:style>
  <w:style w:type="paragraph" w:styleId="919">
    <w:name w:val="List 3"/>
    <w:basedOn w:val="885"/>
    <w:uiPriority w:val="99"/>
    <w:unhideWhenUsed/>
    <w:pPr>
      <w:pBdr/>
      <w:spacing/>
      <w:ind w:hanging="360" w:left="1080"/>
      <w:contextualSpacing w:val="true"/>
    </w:pPr>
  </w:style>
  <w:style w:type="paragraph" w:styleId="920">
    <w:name w:val="List Bullet"/>
    <w:basedOn w:val="885"/>
    <w:uiPriority w:val="99"/>
    <w:unhideWhenUsed/>
    <w:pPr>
      <w:numPr>
        <w:numId w:val="1"/>
      </w:numPr>
      <w:pBdr/>
      <w:spacing/>
      <w:ind/>
      <w:contextualSpacing w:val="true"/>
    </w:pPr>
  </w:style>
  <w:style w:type="paragraph" w:styleId="921">
    <w:name w:val="List Bullet 2"/>
    <w:basedOn w:val="885"/>
    <w:uiPriority w:val="99"/>
    <w:unhideWhenUsed/>
    <w:pPr>
      <w:numPr>
        <w:numId w:val="2"/>
      </w:numPr>
      <w:pBdr/>
      <w:spacing/>
      <w:ind/>
      <w:contextualSpacing w:val="true"/>
    </w:pPr>
  </w:style>
  <w:style w:type="paragraph" w:styleId="922">
    <w:name w:val="List Bullet 3"/>
    <w:basedOn w:val="885"/>
    <w:uiPriority w:val="99"/>
    <w:unhideWhenUsed/>
    <w:pPr>
      <w:numPr>
        <w:numId w:val="3"/>
      </w:numPr>
      <w:pBdr/>
      <w:spacing/>
      <w:ind/>
      <w:contextualSpacing w:val="true"/>
    </w:pPr>
  </w:style>
  <w:style w:type="paragraph" w:styleId="923">
    <w:name w:val="List Number"/>
    <w:basedOn w:val="885"/>
    <w:uiPriority w:val="99"/>
    <w:unhideWhenUsed/>
    <w:pPr>
      <w:numPr>
        <w:numId w:val="5"/>
      </w:numPr>
      <w:pBdr/>
      <w:spacing/>
      <w:ind/>
      <w:contextualSpacing w:val="true"/>
    </w:pPr>
  </w:style>
  <w:style w:type="paragraph" w:styleId="924">
    <w:name w:val="List Number 2"/>
    <w:basedOn w:val="885"/>
    <w:uiPriority w:val="99"/>
    <w:unhideWhenUsed/>
    <w:pPr>
      <w:numPr>
        <w:numId w:val="6"/>
      </w:numPr>
      <w:pBdr/>
      <w:spacing/>
      <w:ind/>
      <w:contextualSpacing w:val="true"/>
    </w:pPr>
  </w:style>
  <w:style w:type="paragraph" w:styleId="925">
    <w:name w:val="List Number 3"/>
    <w:basedOn w:val="885"/>
    <w:uiPriority w:val="99"/>
    <w:unhideWhenUsed/>
    <w:pPr>
      <w:numPr>
        <w:numId w:val="7"/>
      </w:numPr>
      <w:pBdr/>
      <w:spacing/>
      <w:ind/>
      <w:contextualSpacing w:val="true"/>
    </w:pPr>
  </w:style>
  <w:style w:type="paragraph" w:styleId="926">
    <w:name w:val="List Continue"/>
    <w:basedOn w:val="885"/>
    <w:uiPriority w:val="99"/>
    <w:unhideWhenUsed/>
    <w:pPr>
      <w:pBdr/>
      <w:spacing w:after="120"/>
      <w:ind w:left="360"/>
      <w:contextualSpacing w:val="true"/>
    </w:pPr>
  </w:style>
  <w:style w:type="paragraph" w:styleId="927">
    <w:name w:val="List Continue 2"/>
    <w:basedOn w:val="885"/>
    <w:uiPriority w:val="99"/>
    <w:unhideWhenUsed/>
    <w:pPr>
      <w:pBdr/>
      <w:spacing w:after="120"/>
      <w:ind w:left="720"/>
      <w:contextualSpacing w:val="true"/>
    </w:pPr>
  </w:style>
  <w:style w:type="paragraph" w:styleId="928">
    <w:name w:val="List Continue 3"/>
    <w:basedOn w:val="885"/>
    <w:uiPriority w:val="99"/>
    <w:unhideWhenUsed/>
    <w:pPr>
      <w:pBdr/>
      <w:spacing w:after="120"/>
      <w:ind w:left="1080"/>
      <w:contextualSpacing w:val="true"/>
    </w:pPr>
  </w:style>
  <w:style w:type="paragraph" w:styleId="929">
    <w:name w:val="macro"/>
    <w:link w:val="930"/>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30" w:customStyle="1">
    <w:name w:val="Macro Text Char"/>
    <w:basedOn w:val="899"/>
    <w:link w:val="929"/>
    <w:uiPriority w:val="99"/>
    <w:pPr>
      <w:pBdr/>
      <w:spacing/>
      <w:ind/>
    </w:pPr>
    <w:rPr>
      <w:rFonts w:ascii="Courier" w:hAnsi="Courier"/>
      <w:sz w:val="20"/>
      <w:szCs w:val="20"/>
    </w:rPr>
  </w:style>
  <w:style w:type="paragraph" w:styleId="931">
    <w:name w:val="Quote"/>
    <w:basedOn w:val="885"/>
    <w:next w:val="885"/>
    <w:link w:val="932"/>
    <w:uiPriority w:val="29"/>
    <w:qFormat/>
    <w:pPr>
      <w:pBdr/>
      <w:spacing/>
      <w:ind/>
    </w:pPr>
    <w:rPr>
      <w:i/>
      <w:iCs/>
      <w:color w:val="000000" w:themeColor="text1"/>
    </w:rPr>
  </w:style>
  <w:style w:type="character" w:styleId="932" w:customStyle="1">
    <w:name w:val="Quote Char"/>
    <w:basedOn w:val="899"/>
    <w:link w:val="931"/>
    <w:uiPriority w:val="29"/>
    <w:pPr>
      <w:pBdr/>
      <w:spacing/>
      <w:ind/>
    </w:pPr>
    <w:rPr>
      <w:i/>
      <w:iCs/>
      <w:color w:val="000000" w:themeColor="text1"/>
    </w:rPr>
  </w:style>
  <w:style w:type="character" w:styleId="933" w:customStyle="1">
    <w:name w:val="Heading 4 Char"/>
    <w:basedOn w:val="899"/>
    <w:link w:val="893"/>
    <w:uiPriority w:val="9"/>
    <w:semiHidden/>
    <w:pPr>
      <w:pBdr/>
      <w:spacing/>
      <w:ind/>
    </w:pPr>
    <w:rPr>
      <w:rFonts w:asciiTheme="majorHAnsi" w:hAnsiTheme="majorHAnsi" w:eastAsiaTheme="majorEastAsia" w:cstheme="majorBidi"/>
      <w:b/>
      <w:bCs/>
      <w:i/>
      <w:iCs/>
      <w:color w:val="4f81bd" w:themeColor="accent1"/>
    </w:rPr>
  </w:style>
  <w:style w:type="character" w:styleId="934" w:customStyle="1">
    <w:name w:val="Heading 5 Char"/>
    <w:basedOn w:val="899"/>
    <w:link w:val="894"/>
    <w:uiPriority w:val="9"/>
    <w:semiHidden/>
    <w:pPr>
      <w:pBdr/>
      <w:spacing/>
      <w:ind/>
    </w:pPr>
    <w:rPr>
      <w:rFonts w:asciiTheme="majorHAnsi" w:hAnsiTheme="majorHAnsi" w:eastAsiaTheme="majorEastAsia" w:cstheme="majorBidi"/>
      <w:color w:val="243f60" w:themeColor="accent1" w:themeShade="7F"/>
    </w:rPr>
  </w:style>
  <w:style w:type="character" w:styleId="935" w:customStyle="1">
    <w:name w:val="Heading 6 Char"/>
    <w:basedOn w:val="899"/>
    <w:link w:val="895"/>
    <w:uiPriority w:val="9"/>
    <w:semiHidden/>
    <w:pPr>
      <w:pBdr/>
      <w:spacing/>
      <w:ind/>
    </w:pPr>
    <w:rPr>
      <w:rFonts w:asciiTheme="majorHAnsi" w:hAnsiTheme="majorHAnsi" w:eastAsiaTheme="majorEastAsia" w:cstheme="majorBidi"/>
      <w:i/>
      <w:iCs/>
      <w:color w:val="243f60" w:themeColor="accent1" w:themeShade="7F"/>
    </w:rPr>
  </w:style>
  <w:style w:type="character" w:styleId="936" w:customStyle="1">
    <w:name w:val="Heading 7 Char"/>
    <w:basedOn w:val="899"/>
    <w:link w:val="896"/>
    <w:uiPriority w:val="9"/>
    <w:semiHidden/>
    <w:pPr>
      <w:pBdr/>
      <w:spacing/>
      <w:ind/>
    </w:pPr>
    <w:rPr>
      <w:rFonts w:asciiTheme="majorHAnsi" w:hAnsiTheme="majorHAnsi" w:eastAsiaTheme="majorEastAsia" w:cstheme="majorBidi"/>
      <w:i/>
      <w:iCs/>
      <w:color w:val="404040" w:themeColor="text1" w:themeTint="BF"/>
    </w:rPr>
  </w:style>
  <w:style w:type="character" w:styleId="937" w:customStyle="1">
    <w:name w:val="Heading 8 Char"/>
    <w:basedOn w:val="899"/>
    <w:link w:val="897"/>
    <w:uiPriority w:val="9"/>
    <w:semiHidden/>
    <w:pPr>
      <w:pBdr/>
      <w:spacing/>
      <w:ind/>
    </w:pPr>
    <w:rPr>
      <w:rFonts w:asciiTheme="majorHAnsi" w:hAnsiTheme="majorHAnsi" w:eastAsiaTheme="majorEastAsia" w:cstheme="majorBidi"/>
      <w:color w:val="4f81bd" w:themeColor="accent1"/>
      <w:sz w:val="20"/>
      <w:szCs w:val="20"/>
    </w:rPr>
  </w:style>
  <w:style w:type="character" w:styleId="938" w:customStyle="1">
    <w:name w:val="Heading 9 Char"/>
    <w:basedOn w:val="899"/>
    <w:link w:val="898"/>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39">
    <w:name w:val="Caption"/>
    <w:basedOn w:val="885"/>
    <w:next w:val="885"/>
    <w:uiPriority w:val="35"/>
    <w:semiHidden/>
    <w:unhideWhenUsed/>
    <w:qFormat/>
    <w:pPr>
      <w:pBdr/>
      <w:spacing w:line="240" w:lineRule="auto"/>
      <w:ind/>
    </w:pPr>
    <w:rPr>
      <w:b/>
      <w:bCs/>
      <w:color w:val="4f81bd" w:themeColor="accent1"/>
      <w:sz w:val="18"/>
      <w:szCs w:val="18"/>
    </w:rPr>
  </w:style>
  <w:style w:type="character" w:styleId="940">
    <w:name w:val="Strong"/>
    <w:basedOn w:val="899"/>
    <w:uiPriority w:val="22"/>
    <w:qFormat/>
    <w:pPr>
      <w:pBdr/>
      <w:spacing/>
      <w:ind/>
    </w:pPr>
    <w:rPr>
      <w:b/>
      <w:bCs/>
    </w:rPr>
  </w:style>
  <w:style w:type="character" w:styleId="941">
    <w:name w:val="Emphasis"/>
    <w:basedOn w:val="899"/>
    <w:uiPriority w:val="20"/>
    <w:qFormat/>
    <w:pPr>
      <w:pBdr/>
      <w:spacing/>
      <w:ind/>
    </w:pPr>
    <w:rPr>
      <w:i/>
      <w:iCs/>
    </w:rPr>
  </w:style>
  <w:style w:type="paragraph" w:styleId="942">
    <w:name w:val="Intense Quote"/>
    <w:basedOn w:val="885"/>
    <w:next w:val="885"/>
    <w:link w:val="943"/>
    <w:uiPriority w:val="30"/>
    <w:qFormat/>
    <w:pPr>
      <w:pBdr>
        <w:bottom w:val="single" w:color="4f81bd" w:themeColor="accent1" w:sz="4" w:space="4"/>
      </w:pBdr>
      <w:spacing w:after="280" w:before="200"/>
      <w:ind w:right="936" w:left="936"/>
    </w:pPr>
    <w:rPr>
      <w:b/>
      <w:bCs/>
      <w:i/>
      <w:iCs/>
      <w:color w:val="4f81bd" w:themeColor="accent1"/>
    </w:rPr>
  </w:style>
  <w:style w:type="character" w:styleId="943" w:customStyle="1">
    <w:name w:val="Intense Quote Char"/>
    <w:basedOn w:val="899"/>
    <w:link w:val="942"/>
    <w:uiPriority w:val="30"/>
    <w:pPr>
      <w:pBdr/>
      <w:spacing/>
      <w:ind/>
    </w:pPr>
    <w:rPr>
      <w:b/>
      <w:bCs/>
      <w:i/>
      <w:iCs/>
      <w:color w:val="4f81bd" w:themeColor="accent1"/>
    </w:rPr>
  </w:style>
  <w:style w:type="character" w:styleId="944">
    <w:name w:val="Subtle Emphasis"/>
    <w:basedOn w:val="899"/>
    <w:uiPriority w:val="19"/>
    <w:qFormat/>
    <w:pPr>
      <w:pBdr/>
      <w:spacing/>
      <w:ind/>
    </w:pPr>
    <w:rPr>
      <w:i/>
      <w:iCs/>
      <w:color w:val="808080" w:themeColor="text1" w:themeTint="7F"/>
    </w:rPr>
  </w:style>
  <w:style w:type="character" w:styleId="945">
    <w:name w:val="Intense Emphasis"/>
    <w:basedOn w:val="899"/>
    <w:uiPriority w:val="21"/>
    <w:qFormat/>
    <w:pPr>
      <w:pBdr/>
      <w:spacing/>
      <w:ind/>
    </w:pPr>
    <w:rPr>
      <w:b/>
      <w:bCs/>
      <w:i/>
      <w:iCs/>
      <w:color w:val="4f81bd" w:themeColor="accent1"/>
    </w:rPr>
  </w:style>
  <w:style w:type="character" w:styleId="946">
    <w:name w:val="Subtle Reference"/>
    <w:basedOn w:val="899"/>
    <w:uiPriority w:val="31"/>
    <w:qFormat/>
    <w:pPr>
      <w:pBdr/>
      <w:spacing/>
      <w:ind/>
    </w:pPr>
    <w:rPr>
      <w:smallCaps/>
      <w:color w:val="c0504d" w:themeColor="accent2"/>
      <w:u w:val="single"/>
    </w:rPr>
  </w:style>
  <w:style w:type="character" w:styleId="947">
    <w:name w:val="Intense Reference"/>
    <w:basedOn w:val="899"/>
    <w:uiPriority w:val="32"/>
    <w:qFormat/>
    <w:pPr>
      <w:pBdr/>
      <w:spacing/>
      <w:ind/>
    </w:pPr>
    <w:rPr>
      <w:b/>
      <w:bCs/>
      <w:smallCaps/>
      <w:color w:val="c0504d" w:themeColor="accent2"/>
      <w:spacing w:val="5"/>
      <w:u w:val="single"/>
    </w:rPr>
  </w:style>
  <w:style w:type="character" w:styleId="948">
    <w:name w:val="Book Title"/>
    <w:basedOn w:val="899"/>
    <w:uiPriority w:val="33"/>
    <w:qFormat/>
    <w:pPr>
      <w:pBdr/>
      <w:spacing/>
      <w:ind/>
    </w:pPr>
    <w:rPr>
      <w:b/>
      <w:bCs/>
      <w:smallCaps/>
      <w:spacing w:val="5"/>
    </w:rPr>
  </w:style>
  <w:style w:type="paragraph" w:styleId="949">
    <w:name w:val="TOC Heading"/>
    <w:basedOn w:val="890"/>
    <w:next w:val="885"/>
    <w:uiPriority w:val="39"/>
    <w:semiHidden/>
    <w:unhideWhenUsed/>
    <w:qFormat/>
    <w:pPr>
      <w:pBdr/>
      <w:spacing/>
      <w:ind/>
      <w:outlineLvl w:val="9"/>
    </w:pPr>
  </w:style>
  <w:style w:type="table" w:styleId="950">
    <w:name w:val="Table Grid"/>
    <w:basedOn w:val="900"/>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ght Shading"/>
    <w:basedOn w:val="900"/>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ght Shading Accent 1"/>
    <w:basedOn w:val="900"/>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ght Shading Accent 2"/>
    <w:basedOn w:val="900"/>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ght Shading Accent 3"/>
    <w:basedOn w:val="900"/>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ght Shading Accent 4"/>
    <w:basedOn w:val="900"/>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ght Shading Accent 5"/>
    <w:basedOn w:val="900"/>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ght Shading Accent 6"/>
    <w:basedOn w:val="900"/>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ght List"/>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ght List Accent 1"/>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ght List Accent 2"/>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ght List Accent 3"/>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ght List Accent 4"/>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ght List Accent 5"/>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ght List Accent 6"/>
    <w:basedOn w:val="900"/>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ght Grid"/>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ght Grid Accent 1"/>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ght Grid Accent 2"/>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ght Grid Accent 3"/>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ght Grid Accent 4"/>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ght Grid Accent 5"/>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ght Grid Accent 6"/>
    <w:basedOn w:val="900"/>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Medium Shading 1"/>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Medium Shading 1 Accent 1"/>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Medium Shading 1 Accent 2"/>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Medium Shading 1 Accent 3"/>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Medium Shading 1 Accent 4"/>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Medium Shading 1 Accent 5"/>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Medium Shading 1 Accent 6"/>
    <w:basedOn w:val="900"/>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Medium Shading 2"/>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Medium Shading 2 Accent 1"/>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Medium Shading 2 Accent 2"/>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Medium Shading 2 Accent 3"/>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Medium Shading 2 Accent 4"/>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Medium Shading 2 Accent 5"/>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Medium Shading 2 Accent 6"/>
    <w:basedOn w:val="900"/>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Medium List 1"/>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Medium List 1 Accent 1"/>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Medium List 1 Accent 2"/>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Medium List 1 Accent 3"/>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Medium List 1 Accent 4"/>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Medium List 1 Accent 5"/>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Medium List 1 Accent 6"/>
    <w:basedOn w:val="900"/>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Medium List 2"/>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Medium List 2 Accent 1"/>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Medium List 2 Accent 2"/>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Medium List 2 Accent 3"/>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Medium List 2 Accent 4"/>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Medium List 2 Accent 5"/>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Medium List 2 Accent 6"/>
    <w:basedOn w:val="900"/>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Medium Grid 1"/>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Medium Grid 1 Accent 1"/>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Medium Grid 1 Accent 2"/>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Medium Grid 1 Accent 3"/>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Grid 1 Accent 4"/>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Grid 1 Accent 5"/>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Grid 1 Accent 6"/>
    <w:basedOn w:val="900"/>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Grid 2"/>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Grid 2 Accent 1"/>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Medium Grid 2 Accent 2"/>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Medium Grid 2 Accent 3"/>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Medium Grid 2 Accent 4"/>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Medium Grid 2 Accent 5"/>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Medium Grid 2 Accent 6"/>
    <w:basedOn w:val="900"/>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Medium Grid 3"/>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Medium Grid 3 Accent 1"/>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Medium Grid 3 Accent 2"/>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Medium Grid 3 Accent 3"/>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Medium Grid 3 Accent 4"/>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Medium Grid 3 Accent 5"/>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Medium Grid 3 Accent 6"/>
    <w:basedOn w:val="900"/>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Dark List"/>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Dark List Accent 1"/>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Dark List Accent 2"/>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Dark List Accent 3"/>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Dark List Accent 4"/>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Dark List Accent 5"/>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Dark List Accent 6"/>
    <w:basedOn w:val="900"/>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Colorful Shading"/>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Colorful Shading Accent 1"/>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Colorful Shading Accent 2"/>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Colorful Shading Accent 3"/>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Colorful Shading Accent 4"/>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Colorful Shading Accent 5"/>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Colorful Shading Accent 6"/>
    <w:basedOn w:val="900"/>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Colorful List"/>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Colorful List Accent 1"/>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Colorful List Accent 2"/>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Colorful List Accent 3"/>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Colorful List Accent 4"/>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Colorful List Accent 5"/>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Colorful List Accent 6"/>
    <w:basedOn w:val="900"/>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Colorful Grid"/>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Colorful Grid Accent 1"/>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Colorful Grid Accent 2"/>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Colorful Grid Accent 3"/>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Colorful Grid Accent 4"/>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Colorful Grid Accent 5"/>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Colorful Grid Accent 6"/>
    <w:basedOn w:val="900"/>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9" w:customStyle="1">
    <w:name w:val="Eyebrow"/>
    <w:pPr>
      <w:pBdr/>
      <w:spacing/>
      <w:ind/>
    </w:pPr>
    <w:rPr>
      <w:rFonts w:ascii="Aptos" w:hAnsi="Aptos"/>
      <w:b/>
      <w:caps/>
      <w:sz w:val="1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hyperlink" Target="https://sls-continuation-validity.netlify.app/SLS_Assessment_Scoping_Sheet_v0.1.docx" TargetMode="External"/><Relationship Id="rId12" Type="http://schemas.openxmlformats.org/officeDocument/2006/relationships/hyperlink" Target="http://eh5j065v@slsrux.anonaddy.com"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revision>4</cp:revision>
  <dcterms:created xsi:type="dcterms:W3CDTF">2013-12-23T23:15:00Z</dcterms:created>
  <dcterms:modified xsi:type="dcterms:W3CDTF">2026-09-25T19:37:57Z</dcterms:modified>
  <cp:category/>
</cp:coreProperties>
</file>